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FA6A7D" w14:textId="1CF44971" w:rsidR="002C1A98" w:rsidRDefault="004C38B1" w:rsidP="004C38B1">
      <w:pPr>
        <w:spacing w:after="120" w:line="300" w:lineRule="auto"/>
        <w:jc w:val="both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246FF" wp14:editId="700C278A">
                <wp:simplePos x="0" y="0"/>
                <wp:positionH relativeFrom="margin">
                  <wp:posOffset>1995170</wp:posOffset>
                </wp:positionH>
                <wp:positionV relativeFrom="margin">
                  <wp:posOffset>-515620</wp:posOffset>
                </wp:positionV>
                <wp:extent cx="3727450" cy="541655"/>
                <wp:effectExtent l="0" t="0" r="0" b="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F9CA2" w14:textId="77777777" w:rsidR="004C38B1" w:rsidRPr="00390609" w:rsidRDefault="004C38B1" w:rsidP="004C38B1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10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2B246F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157.1pt;margin-top:-40.55pt;width:293.5pt;height:42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" filled="f" stroked="f" strokeweight=".5pt">
                <v:path arrowok="t"/>
                <v:textbox>
                  <w:txbxContent>
                    <w:p w14:paraId="3E0F9CA2" w14:textId="77777777" w:rsidR="004C38B1" w:rsidRPr="00390609" w:rsidRDefault="004C38B1" w:rsidP="004C38B1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1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02F0D" wp14:editId="1892BFDA">
                <wp:simplePos x="0" y="0"/>
                <wp:positionH relativeFrom="column">
                  <wp:posOffset>-862965</wp:posOffset>
                </wp:positionH>
                <wp:positionV relativeFrom="paragraph">
                  <wp:posOffset>-397510</wp:posOffset>
                </wp:positionV>
                <wp:extent cx="137160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15FCE" w14:textId="2C8435CD" w:rsidR="004C38B1" w:rsidRPr="004C38B1" w:rsidRDefault="004C38B1" w:rsidP="004C38B1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7.1.10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9902F0D" id="Text_x0020_Box_x0020_4" o:spid="_x0000_s1027" type="#_x0000_t202" style="position:absolute;left:0;text-align:left;margin-left:-67.95pt;margin-top:-31.25pt;width:108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" filled="f" stroked="f">
                <v:textbox>
                  <w:txbxContent>
                    <w:p w14:paraId="6C615FCE" w14:textId="2C8435CD" w:rsidR="004C38B1" w:rsidRPr="004C38B1" w:rsidRDefault="004C38B1" w:rsidP="004C38B1">
                      <w:pPr>
                        <w:jc w:val="lef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7.1.10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6D963A6" wp14:editId="170B8453">
            <wp:simplePos x="0" y="0"/>
            <wp:positionH relativeFrom="column">
              <wp:posOffset>-914400</wp:posOffset>
            </wp:positionH>
            <wp:positionV relativeFrom="paragraph">
              <wp:posOffset>-742950</wp:posOffset>
            </wp:positionV>
            <wp:extent cx="3594735" cy="1192287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IS CURRICULUM FLAG_te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6982" cy="1202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B0B30" w14:textId="12A8165B" w:rsidR="0042294B" w:rsidRPr="004C38B1" w:rsidRDefault="0042294B" w:rsidP="000D4602">
      <w:pPr>
        <w:spacing w:before="360" w:after="240"/>
        <w:jc w:val="left"/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</w:pPr>
      <w:r w:rsidRPr="004C38B1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Two Examples of National Mechanisms of HIS Coordination and Partnership</w:t>
      </w:r>
    </w:p>
    <w:p w14:paraId="0F87C89D" w14:textId="672B2900" w:rsidR="0050651E" w:rsidRPr="004C38B1" w:rsidRDefault="00CA56FF" w:rsidP="004C38B1">
      <w:pPr>
        <w:spacing w:after="240" w:line="300" w:lineRule="auto"/>
        <w:jc w:val="left"/>
        <w:rPr>
          <w:rFonts w:ascii="Garamond" w:hAnsi="Garamond"/>
          <w:sz w:val="22"/>
          <w:szCs w:val="22"/>
        </w:rPr>
      </w:pPr>
      <w:r w:rsidRPr="0090750A">
        <w:rPr>
          <w:rFonts w:ascii="Garamond" w:hAnsi="Garamond"/>
          <w:sz w:val="22"/>
          <w:szCs w:val="22"/>
        </w:rPr>
        <w:t xml:space="preserve">The </w:t>
      </w:r>
      <w:r w:rsidR="0050651E" w:rsidRPr="0090750A">
        <w:rPr>
          <w:rFonts w:ascii="Garamond" w:hAnsi="Garamond"/>
          <w:sz w:val="22"/>
          <w:szCs w:val="22"/>
        </w:rPr>
        <w:t>coordination and maintenance of collaborative partnerships is</w:t>
      </w:r>
      <w:r w:rsidR="0042294B" w:rsidRPr="0090750A">
        <w:rPr>
          <w:rFonts w:ascii="Garamond" w:hAnsi="Garamond"/>
          <w:sz w:val="22"/>
          <w:szCs w:val="22"/>
        </w:rPr>
        <w:t xml:space="preserve"> critical for the </w:t>
      </w:r>
      <w:r w:rsidRPr="0090750A">
        <w:rPr>
          <w:rFonts w:ascii="Garamond" w:hAnsi="Garamond"/>
          <w:sz w:val="22"/>
          <w:szCs w:val="22"/>
        </w:rPr>
        <w:t>development of health-information systems, and for</w:t>
      </w:r>
      <w:r w:rsidR="0042294B" w:rsidRPr="0090750A">
        <w:rPr>
          <w:rFonts w:ascii="Garamond" w:hAnsi="Garamond"/>
          <w:sz w:val="22"/>
          <w:szCs w:val="22"/>
        </w:rPr>
        <w:t xml:space="preserve"> the effective operation and sustainability of important </w:t>
      </w:r>
      <w:r w:rsidR="0090750A">
        <w:rPr>
          <w:rFonts w:ascii="Garamond" w:hAnsi="Garamond"/>
          <w:sz w:val="22"/>
          <w:szCs w:val="22"/>
        </w:rPr>
        <w:t>routine health information system/health information system (</w:t>
      </w:r>
      <w:r w:rsidR="0042294B" w:rsidRPr="0090750A">
        <w:rPr>
          <w:rFonts w:ascii="Garamond" w:hAnsi="Garamond"/>
          <w:sz w:val="22"/>
          <w:szCs w:val="22"/>
        </w:rPr>
        <w:t>RHIS/HIS</w:t>
      </w:r>
      <w:r w:rsidR="0090750A">
        <w:rPr>
          <w:rFonts w:ascii="Garamond" w:hAnsi="Garamond"/>
          <w:sz w:val="22"/>
          <w:szCs w:val="22"/>
        </w:rPr>
        <w:t>)</w:t>
      </w:r>
      <w:r w:rsidR="0042294B" w:rsidRPr="0090750A">
        <w:rPr>
          <w:rFonts w:ascii="Garamond" w:hAnsi="Garamond"/>
          <w:sz w:val="22"/>
          <w:szCs w:val="22"/>
        </w:rPr>
        <w:t xml:space="preserve"> functions. </w:t>
      </w:r>
      <w:r w:rsidR="0090750A">
        <w:rPr>
          <w:rFonts w:ascii="Garamond" w:hAnsi="Garamond"/>
          <w:sz w:val="22"/>
          <w:szCs w:val="22"/>
        </w:rPr>
        <w:t>Below</w:t>
      </w:r>
      <w:r w:rsidR="0050651E" w:rsidRPr="0090750A">
        <w:rPr>
          <w:rFonts w:ascii="Garamond" w:hAnsi="Garamond"/>
          <w:sz w:val="22"/>
          <w:szCs w:val="22"/>
        </w:rPr>
        <w:t xml:space="preserve"> are two </w:t>
      </w:r>
      <w:r w:rsidRPr="0090750A">
        <w:rPr>
          <w:rFonts w:ascii="Garamond" w:hAnsi="Garamond"/>
          <w:sz w:val="22"/>
          <w:szCs w:val="22"/>
        </w:rPr>
        <w:t xml:space="preserve">national </w:t>
      </w:r>
      <w:r w:rsidR="0050651E" w:rsidRPr="0090750A">
        <w:rPr>
          <w:rFonts w:ascii="Garamond" w:hAnsi="Garamond"/>
          <w:sz w:val="22"/>
          <w:szCs w:val="22"/>
        </w:rPr>
        <w:t xml:space="preserve">examples </w:t>
      </w:r>
      <w:r w:rsidR="0042294B" w:rsidRPr="0090750A">
        <w:rPr>
          <w:rFonts w:ascii="Garamond" w:hAnsi="Garamond"/>
          <w:sz w:val="22"/>
          <w:szCs w:val="22"/>
        </w:rPr>
        <w:t xml:space="preserve">in which various approaches to </w:t>
      </w:r>
      <w:r w:rsidRPr="0090750A">
        <w:rPr>
          <w:rFonts w:ascii="Garamond" w:hAnsi="Garamond"/>
          <w:sz w:val="22"/>
          <w:szCs w:val="22"/>
        </w:rPr>
        <w:t xml:space="preserve">HIS </w:t>
      </w:r>
      <w:r w:rsidR="0042294B" w:rsidRPr="0090750A">
        <w:rPr>
          <w:rFonts w:ascii="Garamond" w:hAnsi="Garamond"/>
          <w:sz w:val="22"/>
          <w:szCs w:val="22"/>
        </w:rPr>
        <w:t>coordination and collaboration were employed.</w:t>
      </w:r>
    </w:p>
    <w:p w14:paraId="6727DB2A" w14:textId="77777777" w:rsidR="0050651E" w:rsidRPr="0090750A" w:rsidRDefault="0050651E" w:rsidP="004C38B1">
      <w:pPr>
        <w:spacing w:after="120" w:line="300" w:lineRule="auto"/>
        <w:jc w:val="left"/>
        <w:rPr>
          <w:rFonts w:ascii="Century Gothic" w:hAnsi="Century Gothic"/>
          <w:b/>
        </w:rPr>
      </w:pPr>
      <w:r w:rsidRPr="0090750A">
        <w:rPr>
          <w:rFonts w:ascii="Century Gothic" w:hAnsi="Century Gothic"/>
          <w:b/>
        </w:rPr>
        <w:t>National HIS Strategic Planning in Afghanistan</w:t>
      </w:r>
    </w:p>
    <w:p w14:paraId="1E289372" w14:textId="32E17C72" w:rsidR="0050651E" w:rsidRPr="0090750A" w:rsidRDefault="0050651E" w:rsidP="004C38B1">
      <w:pPr>
        <w:pStyle w:val="ListParagraph"/>
        <w:spacing w:after="120" w:line="300" w:lineRule="auto"/>
        <w:ind w:left="0"/>
        <w:contextualSpacing w:val="0"/>
        <w:jc w:val="left"/>
        <w:rPr>
          <w:rFonts w:ascii="Garamond" w:hAnsi="Garamond"/>
          <w:sz w:val="22"/>
          <w:szCs w:val="22"/>
        </w:rPr>
      </w:pPr>
      <w:r w:rsidRPr="0090750A">
        <w:rPr>
          <w:rFonts w:ascii="Garamond" w:hAnsi="Garamond"/>
          <w:sz w:val="22"/>
          <w:szCs w:val="22"/>
        </w:rPr>
        <w:t>T</w:t>
      </w:r>
      <w:r w:rsidR="0042294B" w:rsidRPr="0090750A">
        <w:rPr>
          <w:rFonts w:ascii="Garamond" w:hAnsi="Garamond"/>
          <w:sz w:val="22"/>
          <w:szCs w:val="22"/>
        </w:rPr>
        <w:t>he approach</w:t>
      </w:r>
      <w:r w:rsidR="00C77891" w:rsidRPr="0090750A">
        <w:rPr>
          <w:rFonts w:ascii="Garamond" w:hAnsi="Garamond"/>
          <w:sz w:val="22"/>
          <w:szCs w:val="22"/>
        </w:rPr>
        <w:t>es</w:t>
      </w:r>
      <w:r w:rsidR="00C82CBE" w:rsidRPr="0090750A">
        <w:rPr>
          <w:rFonts w:ascii="Garamond" w:hAnsi="Garamond"/>
          <w:sz w:val="22"/>
          <w:szCs w:val="22"/>
        </w:rPr>
        <w:t xml:space="preserve"> used for </w:t>
      </w:r>
      <w:r w:rsidRPr="0090750A">
        <w:rPr>
          <w:rFonts w:ascii="Garamond" w:hAnsi="Garamond"/>
          <w:sz w:val="22"/>
          <w:szCs w:val="22"/>
        </w:rPr>
        <w:t>two successive HIS s</w:t>
      </w:r>
      <w:r w:rsidR="0042294B" w:rsidRPr="0090750A">
        <w:rPr>
          <w:rFonts w:ascii="Garamond" w:hAnsi="Garamond"/>
          <w:sz w:val="22"/>
          <w:szCs w:val="22"/>
        </w:rPr>
        <w:t>trategic dev</w:t>
      </w:r>
      <w:r w:rsidR="00C77891" w:rsidRPr="0090750A">
        <w:rPr>
          <w:rFonts w:ascii="Garamond" w:hAnsi="Garamond"/>
          <w:sz w:val="22"/>
          <w:szCs w:val="22"/>
        </w:rPr>
        <w:t>elopment plans in Afghanistan are</w:t>
      </w:r>
      <w:r w:rsidR="0042294B" w:rsidRPr="0090750A">
        <w:rPr>
          <w:rFonts w:ascii="Garamond" w:hAnsi="Garamond"/>
          <w:sz w:val="22"/>
          <w:szCs w:val="22"/>
        </w:rPr>
        <w:t xml:space="preserve"> described extensively </w:t>
      </w:r>
      <w:r w:rsidR="00C77891" w:rsidRPr="0090750A">
        <w:rPr>
          <w:rFonts w:ascii="Garamond" w:hAnsi="Garamond"/>
          <w:sz w:val="22"/>
          <w:szCs w:val="22"/>
        </w:rPr>
        <w:t xml:space="preserve">as a case study </w:t>
      </w:r>
      <w:r w:rsidRPr="0090750A">
        <w:rPr>
          <w:rFonts w:ascii="Garamond" w:hAnsi="Garamond"/>
          <w:sz w:val="22"/>
          <w:szCs w:val="22"/>
        </w:rPr>
        <w:t>in Handout 7.1.</w:t>
      </w:r>
      <w:r w:rsidR="00427A79">
        <w:rPr>
          <w:rFonts w:ascii="Garamond" w:hAnsi="Garamond"/>
          <w:sz w:val="22"/>
          <w:szCs w:val="22"/>
        </w:rPr>
        <w:t>6</w:t>
      </w:r>
      <w:r w:rsidRPr="0090750A">
        <w:rPr>
          <w:rFonts w:ascii="Garamond" w:hAnsi="Garamond"/>
          <w:sz w:val="22"/>
          <w:szCs w:val="22"/>
        </w:rPr>
        <w:t>.</w:t>
      </w:r>
      <w:r w:rsidR="00C77891" w:rsidRPr="0090750A">
        <w:rPr>
          <w:rFonts w:ascii="Garamond" w:hAnsi="Garamond"/>
          <w:sz w:val="22"/>
          <w:szCs w:val="22"/>
        </w:rPr>
        <w:t xml:space="preserve"> The importance of a broad set of participants and partners for the success of th</w:t>
      </w:r>
      <w:r w:rsidRPr="0090750A">
        <w:rPr>
          <w:rFonts w:ascii="Garamond" w:hAnsi="Garamond"/>
          <w:sz w:val="22"/>
          <w:szCs w:val="22"/>
        </w:rPr>
        <w:t>e</w:t>
      </w:r>
      <w:r w:rsidR="00C77891" w:rsidRPr="0090750A">
        <w:rPr>
          <w:rFonts w:ascii="Garamond" w:hAnsi="Garamond"/>
          <w:sz w:val="22"/>
          <w:szCs w:val="22"/>
        </w:rPr>
        <w:t xml:space="preserve"> planning process was recognized very early in the process. Critical leadership, technical management</w:t>
      </w:r>
      <w:r w:rsidRPr="0090750A">
        <w:rPr>
          <w:rFonts w:ascii="Garamond" w:hAnsi="Garamond"/>
          <w:sz w:val="22"/>
          <w:szCs w:val="22"/>
        </w:rPr>
        <w:t>,</w:t>
      </w:r>
      <w:r w:rsidR="00C77891" w:rsidRPr="0090750A">
        <w:rPr>
          <w:rFonts w:ascii="Garamond" w:hAnsi="Garamond"/>
          <w:sz w:val="22"/>
          <w:szCs w:val="22"/>
        </w:rPr>
        <w:t xml:space="preserve"> and participation </w:t>
      </w:r>
      <w:r w:rsidRPr="0090750A">
        <w:rPr>
          <w:rFonts w:ascii="Garamond" w:hAnsi="Garamond"/>
          <w:sz w:val="22"/>
          <w:szCs w:val="22"/>
        </w:rPr>
        <w:t>were sought from</w:t>
      </w:r>
      <w:r w:rsidR="00C77891" w:rsidRPr="0090750A">
        <w:rPr>
          <w:rFonts w:ascii="Garamond" w:hAnsi="Garamond"/>
          <w:sz w:val="22"/>
          <w:szCs w:val="22"/>
        </w:rPr>
        <w:t xml:space="preserve"> senior management officials within the Ministry of Public Health, directors of all important departments and</w:t>
      </w:r>
      <w:r w:rsidR="0011712E" w:rsidRPr="0090750A">
        <w:rPr>
          <w:rFonts w:ascii="Garamond" w:hAnsi="Garamond"/>
          <w:sz w:val="22"/>
          <w:szCs w:val="22"/>
        </w:rPr>
        <w:t xml:space="preserve"> programs in the health sector,</w:t>
      </w:r>
      <w:r w:rsidR="00C77891" w:rsidRPr="0090750A">
        <w:rPr>
          <w:rFonts w:ascii="Garamond" w:hAnsi="Garamond"/>
          <w:sz w:val="22"/>
          <w:szCs w:val="22"/>
        </w:rPr>
        <w:t xml:space="preserve"> representatives of other sectors also supporting the generation and use of health and population data, institutions with essential health functions, and representatives </w:t>
      </w:r>
      <w:r w:rsidR="0090750A">
        <w:rPr>
          <w:rFonts w:ascii="Garamond" w:hAnsi="Garamond"/>
          <w:sz w:val="22"/>
          <w:szCs w:val="22"/>
        </w:rPr>
        <w:t>of</w:t>
      </w:r>
      <w:r w:rsidR="00C77891" w:rsidRPr="0090750A">
        <w:rPr>
          <w:rFonts w:ascii="Garamond" w:hAnsi="Garamond"/>
          <w:sz w:val="22"/>
          <w:szCs w:val="22"/>
        </w:rPr>
        <w:t xml:space="preserve"> donor agencies and their development projects.</w:t>
      </w:r>
      <w:r w:rsidR="00C82CBE" w:rsidRPr="0090750A">
        <w:rPr>
          <w:rFonts w:ascii="Garamond" w:hAnsi="Garamond"/>
          <w:sz w:val="22"/>
          <w:szCs w:val="22"/>
        </w:rPr>
        <w:t xml:space="preserve"> </w:t>
      </w:r>
      <w:r w:rsidR="00CA56FF" w:rsidRPr="0090750A">
        <w:rPr>
          <w:rFonts w:ascii="Garamond" w:hAnsi="Garamond"/>
          <w:sz w:val="22"/>
          <w:szCs w:val="22"/>
        </w:rPr>
        <w:t>C</w:t>
      </w:r>
      <w:r w:rsidR="00C77891" w:rsidRPr="0090750A">
        <w:rPr>
          <w:rFonts w:ascii="Garamond" w:hAnsi="Garamond"/>
          <w:sz w:val="22"/>
          <w:szCs w:val="22"/>
        </w:rPr>
        <w:t xml:space="preserve">oordination across </w:t>
      </w:r>
      <w:r w:rsidR="00CA56FF" w:rsidRPr="0090750A">
        <w:rPr>
          <w:rFonts w:ascii="Garamond" w:hAnsi="Garamond"/>
          <w:sz w:val="22"/>
          <w:szCs w:val="22"/>
        </w:rPr>
        <w:t>these</w:t>
      </w:r>
      <w:r w:rsidRPr="0090750A">
        <w:rPr>
          <w:rFonts w:ascii="Garamond" w:hAnsi="Garamond"/>
          <w:sz w:val="22"/>
          <w:szCs w:val="22"/>
        </w:rPr>
        <w:t xml:space="preserve"> institutions and groups</w:t>
      </w:r>
      <w:r w:rsidR="00C77891" w:rsidRPr="0090750A">
        <w:rPr>
          <w:rFonts w:ascii="Garamond" w:hAnsi="Garamond"/>
          <w:sz w:val="22"/>
          <w:szCs w:val="22"/>
        </w:rPr>
        <w:t xml:space="preserve"> </w:t>
      </w:r>
      <w:r w:rsidRPr="0090750A">
        <w:rPr>
          <w:rFonts w:ascii="Garamond" w:hAnsi="Garamond"/>
          <w:sz w:val="22"/>
          <w:szCs w:val="22"/>
        </w:rPr>
        <w:t>w</w:t>
      </w:r>
      <w:r w:rsidR="00CA56FF" w:rsidRPr="0090750A">
        <w:rPr>
          <w:rFonts w:ascii="Garamond" w:hAnsi="Garamond"/>
          <w:sz w:val="22"/>
          <w:szCs w:val="22"/>
        </w:rPr>
        <w:t>as</w:t>
      </w:r>
      <w:r w:rsidR="00C77891" w:rsidRPr="0090750A">
        <w:rPr>
          <w:rFonts w:ascii="Garamond" w:hAnsi="Garamond"/>
          <w:sz w:val="22"/>
          <w:szCs w:val="22"/>
        </w:rPr>
        <w:t xml:space="preserve"> enabled by the creation and functioning of the following groups:</w:t>
      </w:r>
      <w:r w:rsidRPr="0090750A">
        <w:rPr>
          <w:rFonts w:ascii="Garamond" w:hAnsi="Garamond"/>
          <w:sz w:val="22"/>
          <w:szCs w:val="22"/>
        </w:rPr>
        <w:t xml:space="preserve"> </w:t>
      </w:r>
    </w:p>
    <w:p w14:paraId="15AD4C5E" w14:textId="77777777" w:rsidR="00CA56FF" w:rsidRPr="0090750A" w:rsidRDefault="0011712E" w:rsidP="004C38B1">
      <w:pPr>
        <w:pStyle w:val="ListParagraph"/>
        <w:numPr>
          <w:ilvl w:val="0"/>
          <w:numId w:val="8"/>
        </w:numPr>
        <w:spacing w:after="120" w:line="300" w:lineRule="auto"/>
        <w:contextualSpacing w:val="0"/>
        <w:jc w:val="left"/>
        <w:rPr>
          <w:rFonts w:ascii="Garamond" w:hAnsi="Garamond"/>
          <w:sz w:val="22"/>
          <w:szCs w:val="22"/>
        </w:rPr>
      </w:pPr>
      <w:r w:rsidRPr="0090750A">
        <w:rPr>
          <w:rFonts w:ascii="Garamond" w:hAnsi="Garamond"/>
          <w:b/>
          <w:sz w:val="22"/>
          <w:szCs w:val="22"/>
        </w:rPr>
        <w:t>HIS Steering Committee</w:t>
      </w:r>
      <w:r w:rsidR="00CA56FF" w:rsidRPr="0090750A">
        <w:rPr>
          <w:rFonts w:ascii="Garamond" w:hAnsi="Garamond"/>
          <w:sz w:val="22"/>
          <w:szCs w:val="22"/>
        </w:rPr>
        <w:t xml:space="preserve">. This functioned </w:t>
      </w:r>
      <w:r w:rsidRPr="0090750A">
        <w:rPr>
          <w:rFonts w:ascii="Garamond" w:hAnsi="Garamond"/>
          <w:sz w:val="22"/>
          <w:szCs w:val="22"/>
        </w:rPr>
        <w:t xml:space="preserve">as an oversight and decision-making body chaired by a </w:t>
      </w:r>
      <w:r w:rsidR="00CA56FF" w:rsidRPr="0090750A">
        <w:rPr>
          <w:rFonts w:ascii="Garamond" w:hAnsi="Garamond"/>
          <w:sz w:val="22"/>
          <w:szCs w:val="22"/>
        </w:rPr>
        <w:t>deputy minister of public h</w:t>
      </w:r>
      <w:r w:rsidRPr="0090750A">
        <w:rPr>
          <w:rFonts w:ascii="Garamond" w:hAnsi="Garamond"/>
          <w:sz w:val="22"/>
          <w:szCs w:val="22"/>
        </w:rPr>
        <w:t>ealth, and sup</w:t>
      </w:r>
      <w:r w:rsidR="00CA56FF" w:rsidRPr="0090750A">
        <w:rPr>
          <w:rFonts w:ascii="Garamond" w:hAnsi="Garamond"/>
          <w:sz w:val="22"/>
          <w:szCs w:val="22"/>
        </w:rPr>
        <w:t>ported by a broad selection of m</w:t>
      </w:r>
      <w:r w:rsidR="0050651E" w:rsidRPr="0090750A">
        <w:rPr>
          <w:rFonts w:ascii="Garamond" w:hAnsi="Garamond"/>
          <w:sz w:val="22"/>
          <w:szCs w:val="22"/>
        </w:rPr>
        <w:t xml:space="preserve">inistry leaders and donor-agency </w:t>
      </w:r>
      <w:r w:rsidRPr="0090750A">
        <w:rPr>
          <w:rFonts w:ascii="Garamond" w:hAnsi="Garamond"/>
          <w:sz w:val="22"/>
          <w:szCs w:val="22"/>
        </w:rPr>
        <w:t>representatives.</w:t>
      </w:r>
      <w:r w:rsidR="0050651E" w:rsidRPr="0090750A">
        <w:rPr>
          <w:rFonts w:ascii="Garamond" w:hAnsi="Garamond"/>
          <w:sz w:val="22"/>
          <w:szCs w:val="22"/>
        </w:rPr>
        <w:t xml:space="preserve"> </w:t>
      </w:r>
    </w:p>
    <w:p w14:paraId="34575E5B" w14:textId="77777777" w:rsidR="00CA56FF" w:rsidRPr="0090750A" w:rsidRDefault="0011712E" w:rsidP="004C38B1">
      <w:pPr>
        <w:pStyle w:val="ListParagraph"/>
        <w:numPr>
          <w:ilvl w:val="0"/>
          <w:numId w:val="8"/>
        </w:numPr>
        <w:spacing w:after="120" w:line="300" w:lineRule="auto"/>
        <w:contextualSpacing w:val="0"/>
        <w:jc w:val="left"/>
        <w:rPr>
          <w:rFonts w:ascii="Garamond" w:hAnsi="Garamond"/>
          <w:sz w:val="22"/>
          <w:szCs w:val="22"/>
        </w:rPr>
      </w:pPr>
      <w:r w:rsidRPr="0090750A">
        <w:rPr>
          <w:rFonts w:ascii="Garamond" w:hAnsi="Garamond"/>
          <w:b/>
          <w:sz w:val="22"/>
          <w:szCs w:val="22"/>
        </w:rPr>
        <w:t>Core HIS S</w:t>
      </w:r>
      <w:r w:rsidR="0050651E" w:rsidRPr="0090750A">
        <w:rPr>
          <w:rFonts w:ascii="Garamond" w:hAnsi="Garamond"/>
          <w:b/>
          <w:sz w:val="22"/>
          <w:szCs w:val="22"/>
        </w:rPr>
        <w:t>trategic Planning</w:t>
      </w:r>
      <w:r w:rsidRPr="0090750A">
        <w:rPr>
          <w:rFonts w:ascii="Garamond" w:hAnsi="Garamond"/>
          <w:b/>
          <w:sz w:val="22"/>
          <w:szCs w:val="22"/>
        </w:rPr>
        <w:t xml:space="preserve"> Technical Team</w:t>
      </w:r>
      <w:r w:rsidR="00CA56FF" w:rsidRPr="0090750A">
        <w:rPr>
          <w:rFonts w:ascii="Garamond" w:hAnsi="Garamond"/>
          <w:sz w:val="22"/>
          <w:szCs w:val="22"/>
        </w:rPr>
        <w:t>. The team was led by the director of the HMIS d</w:t>
      </w:r>
      <w:r w:rsidRPr="0090750A">
        <w:rPr>
          <w:rFonts w:ascii="Garamond" w:hAnsi="Garamond"/>
          <w:sz w:val="22"/>
          <w:szCs w:val="22"/>
        </w:rPr>
        <w:t xml:space="preserve">epartment, and supported by senior technical staff from HIS-related units and </w:t>
      </w:r>
      <w:r w:rsidR="006211F2" w:rsidRPr="0090750A">
        <w:rPr>
          <w:rFonts w:ascii="Garamond" w:hAnsi="Garamond"/>
          <w:sz w:val="22"/>
          <w:szCs w:val="22"/>
        </w:rPr>
        <w:t>technical advisors from ongoing</w:t>
      </w:r>
      <w:r w:rsidRPr="0090750A">
        <w:rPr>
          <w:rFonts w:ascii="Garamond" w:hAnsi="Garamond"/>
          <w:sz w:val="22"/>
          <w:szCs w:val="22"/>
        </w:rPr>
        <w:t xml:space="preserve"> HIS support projects. </w:t>
      </w:r>
      <w:r w:rsidR="00CA56FF" w:rsidRPr="0090750A">
        <w:rPr>
          <w:rFonts w:ascii="Garamond" w:hAnsi="Garamond"/>
          <w:sz w:val="22"/>
          <w:szCs w:val="22"/>
        </w:rPr>
        <w:t>The team</w:t>
      </w:r>
      <w:r w:rsidRPr="0090750A">
        <w:rPr>
          <w:rFonts w:ascii="Garamond" w:hAnsi="Garamond"/>
          <w:sz w:val="22"/>
          <w:szCs w:val="22"/>
        </w:rPr>
        <w:t xml:space="preserve"> structured, led</w:t>
      </w:r>
      <w:r w:rsidR="0050651E" w:rsidRPr="0090750A">
        <w:rPr>
          <w:rFonts w:ascii="Garamond" w:hAnsi="Garamond"/>
          <w:sz w:val="22"/>
          <w:szCs w:val="22"/>
        </w:rPr>
        <w:t>,</w:t>
      </w:r>
      <w:r w:rsidRPr="0090750A">
        <w:rPr>
          <w:rFonts w:ascii="Garamond" w:hAnsi="Garamond"/>
          <w:sz w:val="22"/>
          <w:szCs w:val="22"/>
        </w:rPr>
        <w:t xml:space="preserve"> and managed the steps of the </w:t>
      </w:r>
      <w:r w:rsidR="0029348D" w:rsidRPr="0090750A">
        <w:rPr>
          <w:rFonts w:ascii="Garamond" w:hAnsi="Garamond"/>
          <w:sz w:val="22"/>
          <w:szCs w:val="22"/>
        </w:rPr>
        <w:t xml:space="preserve">HIS </w:t>
      </w:r>
      <w:r w:rsidRPr="0090750A">
        <w:rPr>
          <w:rFonts w:ascii="Garamond" w:hAnsi="Garamond"/>
          <w:sz w:val="22"/>
          <w:szCs w:val="22"/>
        </w:rPr>
        <w:t>strategic planning process.</w:t>
      </w:r>
    </w:p>
    <w:p w14:paraId="16CBA958" w14:textId="77777777" w:rsidR="00CA56FF" w:rsidRPr="0090750A" w:rsidRDefault="0011712E" w:rsidP="004C38B1">
      <w:pPr>
        <w:pStyle w:val="ListParagraph"/>
        <w:numPr>
          <w:ilvl w:val="0"/>
          <w:numId w:val="8"/>
        </w:numPr>
        <w:spacing w:after="120" w:line="300" w:lineRule="auto"/>
        <w:contextualSpacing w:val="0"/>
        <w:jc w:val="left"/>
        <w:rPr>
          <w:rFonts w:ascii="Garamond" w:hAnsi="Garamond"/>
          <w:sz w:val="22"/>
          <w:szCs w:val="22"/>
        </w:rPr>
      </w:pPr>
      <w:r w:rsidRPr="0090750A">
        <w:rPr>
          <w:rFonts w:ascii="Garamond" w:hAnsi="Garamond"/>
          <w:b/>
          <w:sz w:val="22"/>
          <w:szCs w:val="22"/>
        </w:rPr>
        <w:t>HIS Strategic Planning Working Group</w:t>
      </w:r>
      <w:r w:rsidR="00CA56FF" w:rsidRPr="0090750A">
        <w:rPr>
          <w:rFonts w:ascii="Garamond" w:hAnsi="Garamond"/>
          <w:sz w:val="22"/>
          <w:szCs w:val="22"/>
        </w:rPr>
        <w:t xml:space="preserve">. The group </w:t>
      </w:r>
      <w:r w:rsidR="0090750A">
        <w:rPr>
          <w:rFonts w:ascii="Garamond" w:hAnsi="Garamond"/>
          <w:sz w:val="22"/>
          <w:szCs w:val="22"/>
        </w:rPr>
        <w:t>consisted</w:t>
      </w:r>
      <w:r w:rsidR="00CA56FF" w:rsidRPr="0090750A">
        <w:rPr>
          <w:rFonts w:ascii="Garamond" w:hAnsi="Garamond"/>
          <w:sz w:val="22"/>
          <w:szCs w:val="22"/>
        </w:rPr>
        <w:t xml:space="preserve"> of</w:t>
      </w:r>
      <w:r w:rsidRPr="0090750A">
        <w:rPr>
          <w:rFonts w:ascii="Garamond" w:hAnsi="Garamond"/>
          <w:sz w:val="22"/>
          <w:szCs w:val="22"/>
        </w:rPr>
        <w:t xml:space="preserve"> national and external HIS-related officers with technical responsibilities and expertise in subjects of HIS development and operations.  As the process unfolded across</w:t>
      </w:r>
      <w:r w:rsidR="0029348D" w:rsidRPr="0090750A">
        <w:rPr>
          <w:rFonts w:ascii="Garamond" w:hAnsi="Garamond"/>
          <w:sz w:val="22"/>
          <w:szCs w:val="22"/>
        </w:rPr>
        <w:t xml:space="preserve"> its planned steps, th</w:t>
      </w:r>
      <w:r w:rsidR="00CA56FF" w:rsidRPr="0090750A">
        <w:rPr>
          <w:rFonts w:ascii="Garamond" w:hAnsi="Garamond"/>
          <w:sz w:val="22"/>
          <w:szCs w:val="22"/>
        </w:rPr>
        <w:t>e</w:t>
      </w:r>
      <w:r w:rsidR="0029348D" w:rsidRPr="0090750A">
        <w:rPr>
          <w:rFonts w:ascii="Garamond" w:hAnsi="Garamond"/>
          <w:sz w:val="22"/>
          <w:szCs w:val="22"/>
        </w:rPr>
        <w:t xml:space="preserve"> working group </w:t>
      </w:r>
      <w:r w:rsidR="004A7D77" w:rsidRPr="0090750A">
        <w:rPr>
          <w:rFonts w:ascii="Garamond" w:hAnsi="Garamond"/>
          <w:sz w:val="22"/>
          <w:szCs w:val="22"/>
        </w:rPr>
        <w:t>formed</w:t>
      </w:r>
      <w:r w:rsidR="0029348D" w:rsidRPr="0090750A">
        <w:rPr>
          <w:rFonts w:ascii="Garamond" w:hAnsi="Garamond"/>
          <w:sz w:val="22"/>
          <w:szCs w:val="22"/>
        </w:rPr>
        <w:t xml:space="preserve"> appropriate subgroups for dealing with components of the strategic plan, following agreed formats for interim products.</w:t>
      </w:r>
    </w:p>
    <w:p w14:paraId="263CD40F" w14:textId="0217EF05" w:rsidR="004A7D77" w:rsidRPr="004C38B1" w:rsidRDefault="0050651E" w:rsidP="004C38B1">
      <w:pPr>
        <w:pStyle w:val="ListParagraph"/>
        <w:numPr>
          <w:ilvl w:val="0"/>
          <w:numId w:val="8"/>
        </w:numPr>
        <w:spacing w:after="120" w:line="300" w:lineRule="auto"/>
        <w:contextualSpacing w:val="0"/>
        <w:jc w:val="left"/>
        <w:rPr>
          <w:rFonts w:ascii="Garamond" w:hAnsi="Garamond"/>
          <w:sz w:val="22"/>
          <w:szCs w:val="22"/>
        </w:rPr>
      </w:pPr>
      <w:r w:rsidRPr="0090750A">
        <w:rPr>
          <w:rFonts w:ascii="Garamond" w:hAnsi="Garamond"/>
          <w:b/>
          <w:sz w:val="22"/>
          <w:szCs w:val="22"/>
        </w:rPr>
        <w:t>Officers Assigned Specialized T</w:t>
      </w:r>
      <w:r w:rsidR="0029348D" w:rsidRPr="0090750A">
        <w:rPr>
          <w:rFonts w:ascii="Garamond" w:hAnsi="Garamond"/>
          <w:b/>
          <w:sz w:val="22"/>
          <w:szCs w:val="22"/>
        </w:rPr>
        <w:t>asks</w:t>
      </w:r>
      <w:r w:rsidR="004A7D77" w:rsidRPr="0090750A">
        <w:rPr>
          <w:rFonts w:ascii="Garamond" w:hAnsi="Garamond"/>
          <w:sz w:val="22"/>
          <w:szCs w:val="22"/>
        </w:rPr>
        <w:t>.</w:t>
      </w:r>
      <w:r w:rsidRPr="0090750A">
        <w:rPr>
          <w:rFonts w:ascii="Garamond" w:hAnsi="Garamond"/>
          <w:sz w:val="22"/>
          <w:szCs w:val="22"/>
        </w:rPr>
        <w:t xml:space="preserve"> </w:t>
      </w:r>
      <w:r w:rsidR="0029348D" w:rsidRPr="0090750A">
        <w:rPr>
          <w:rFonts w:ascii="Garamond" w:hAnsi="Garamond"/>
          <w:sz w:val="22"/>
          <w:szCs w:val="22"/>
        </w:rPr>
        <w:t xml:space="preserve">Certain planning steps and products required dedicated attention from appropriately qualified staff. </w:t>
      </w:r>
      <w:r w:rsidR="004A7D77" w:rsidRPr="0090750A">
        <w:rPr>
          <w:rFonts w:ascii="Garamond" w:hAnsi="Garamond"/>
          <w:sz w:val="22"/>
          <w:szCs w:val="22"/>
        </w:rPr>
        <w:t>They drafted diverse sections of the plan document</w:t>
      </w:r>
      <w:r w:rsidR="0090750A">
        <w:rPr>
          <w:rFonts w:ascii="Garamond" w:hAnsi="Garamond"/>
          <w:sz w:val="22"/>
          <w:szCs w:val="22"/>
        </w:rPr>
        <w:t xml:space="preserve"> </w:t>
      </w:r>
      <w:r w:rsidR="006C70DE">
        <w:rPr>
          <w:rFonts w:ascii="Garamond" w:hAnsi="Garamond"/>
          <w:sz w:val="22"/>
          <w:szCs w:val="22"/>
        </w:rPr>
        <w:t xml:space="preserve">and </w:t>
      </w:r>
      <w:r w:rsidR="006C70DE" w:rsidRPr="0090750A">
        <w:rPr>
          <w:rFonts w:ascii="Garamond" w:hAnsi="Garamond"/>
          <w:sz w:val="22"/>
          <w:szCs w:val="22"/>
        </w:rPr>
        <w:t>developed</w:t>
      </w:r>
      <w:r w:rsidR="004A7D77" w:rsidRPr="0090750A">
        <w:rPr>
          <w:rFonts w:ascii="Garamond" w:hAnsi="Garamond"/>
          <w:sz w:val="22"/>
          <w:szCs w:val="22"/>
        </w:rPr>
        <w:t xml:space="preserve"> activity plans, </w:t>
      </w:r>
      <w:r w:rsidR="0090750A">
        <w:rPr>
          <w:rFonts w:ascii="Garamond" w:hAnsi="Garamond"/>
          <w:sz w:val="22"/>
          <w:szCs w:val="22"/>
        </w:rPr>
        <w:t xml:space="preserve">a </w:t>
      </w:r>
      <w:r w:rsidR="004A7D77" w:rsidRPr="0090750A">
        <w:rPr>
          <w:rFonts w:ascii="Garamond" w:hAnsi="Garamond"/>
          <w:sz w:val="22"/>
          <w:szCs w:val="22"/>
        </w:rPr>
        <w:t xml:space="preserve">monitoring framework, </w:t>
      </w:r>
      <w:r w:rsidR="0029348D" w:rsidRPr="0090750A">
        <w:rPr>
          <w:rFonts w:ascii="Garamond" w:hAnsi="Garamond"/>
          <w:sz w:val="22"/>
          <w:szCs w:val="22"/>
        </w:rPr>
        <w:t>cost estimates, budgets</w:t>
      </w:r>
      <w:r w:rsidR="004A7D77" w:rsidRPr="0090750A">
        <w:rPr>
          <w:rFonts w:ascii="Garamond" w:hAnsi="Garamond"/>
          <w:sz w:val="22"/>
          <w:szCs w:val="22"/>
        </w:rPr>
        <w:t>,</w:t>
      </w:r>
      <w:r w:rsidR="0029348D" w:rsidRPr="0090750A">
        <w:rPr>
          <w:rFonts w:ascii="Garamond" w:hAnsi="Garamond"/>
          <w:sz w:val="22"/>
          <w:szCs w:val="22"/>
        </w:rPr>
        <w:t xml:space="preserve"> </w:t>
      </w:r>
      <w:r w:rsidR="004A7D77" w:rsidRPr="0090750A">
        <w:rPr>
          <w:rFonts w:ascii="Garamond" w:hAnsi="Garamond"/>
          <w:sz w:val="22"/>
          <w:szCs w:val="22"/>
        </w:rPr>
        <w:t xml:space="preserve">and </w:t>
      </w:r>
      <w:r w:rsidR="0029348D" w:rsidRPr="0090750A">
        <w:rPr>
          <w:rFonts w:ascii="Garamond" w:hAnsi="Garamond"/>
          <w:sz w:val="22"/>
          <w:szCs w:val="22"/>
        </w:rPr>
        <w:t>requirements for donor support</w:t>
      </w:r>
      <w:r w:rsidR="004A7D77" w:rsidRPr="0090750A">
        <w:rPr>
          <w:rFonts w:ascii="Garamond" w:hAnsi="Garamond"/>
          <w:sz w:val="22"/>
          <w:szCs w:val="22"/>
        </w:rPr>
        <w:t>. They also formatted and produced the plan document and appendices.</w:t>
      </w:r>
    </w:p>
    <w:p w14:paraId="06A00B89" w14:textId="77777777" w:rsidR="00687F83" w:rsidRPr="0090750A" w:rsidRDefault="00687F83" w:rsidP="004C38B1">
      <w:pPr>
        <w:spacing w:after="120" w:line="300" w:lineRule="auto"/>
        <w:jc w:val="left"/>
        <w:rPr>
          <w:rFonts w:ascii="Garamond" w:hAnsi="Garamond"/>
          <w:sz w:val="22"/>
          <w:szCs w:val="22"/>
        </w:rPr>
      </w:pPr>
      <w:r w:rsidRPr="0090750A">
        <w:rPr>
          <w:rFonts w:ascii="Garamond" w:hAnsi="Garamond"/>
          <w:sz w:val="22"/>
          <w:szCs w:val="22"/>
        </w:rPr>
        <w:t xml:space="preserve">The effectiveness </w:t>
      </w:r>
      <w:r w:rsidR="004A7D77" w:rsidRPr="0090750A">
        <w:rPr>
          <w:rFonts w:ascii="Garamond" w:hAnsi="Garamond"/>
          <w:sz w:val="22"/>
          <w:szCs w:val="22"/>
        </w:rPr>
        <w:t xml:space="preserve">of these groups depended on </w:t>
      </w:r>
      <w:r w:rsidR="00C82CBE" w:rsidRPr="0090750A">
        <w:rPr>
          <w:rFonts w:ascii="Garamond" w:hAnsi="Garamond"/>
          <w:sz w:val="22"/>
          <w:szCs w:val="22"/>
        </w:rPr>
        <w:t>leadership and oversight by</w:t>
      </w:r>
      <w:r w:rsidRPr="0090750A">
        <w:rPr>
          <w:rFonts w:ascii="Garamond" w:hAnsi="Garamond"/>
          <w:sz w:val="22"/>
          <w:szCs w:val="22"/>
        </w:rPr>
        <w:t xml:space="preserve"> Ministry decision</w:t>
      </w:r>
      <w:r w:rsidR="004A7D77" w:rsidRPr="0090750A">
        <w:rPr>
          <w:rFonts w:ascii="Garamond" w:hAnsi="Garamond"/>
          <w:sz w:val="22"/>
          <w:szCs w:val="22"/>
        </w:rPr>
        <w:t xml:space="preserve"> </w:t>
      </w:r>
      <w:r w:rsidRPr="0090750A">
        <w:rPr>
          <w:rFonts w:ascii="Garamond" w:hAnsi="Garamond"/>
          <w:sz w:val="22"/>
          <w:szCs w:val="22"/>
        </w:rPr>
        <w:t>makers and technical managers.</w:t>
      </w:r>
    </w:p>
    <w:p w14:paraId="44E73034" w14:textId="6D636C80" w:rsidR="004A7D77" w:rsidRPr="0090750A" w:rsidRDefault="004A7D77" w:rsidP="004C38B1">
      <w:pPr>
        <w:spacing w:after="120" w:line="300" w:lineRule="auto"/>
        <w:jc w:val="left"/>
        <w:rPr>
          <w:rFonts w:ascii="Garamond" w:hAnsi="Garamond"/>
          <w:b/>
          <w:sz w:val="22"/>
          <w:szCs w:val="22"/>
        </w:rPr>
      </w:pPr>
    </w:p>
    <w:p w14:paraId="1C875DFE" w14:textId="6B394A1C" w:rsidR="004A7D77" w:rsidRPr="004C38B1" w:rsidRDefault="0042294B" w:rsidP="004C38B1">
      <w:pPr>
        <w:spacing w:after="120" w:line="300" w:lineRule="auto"/>
        <w:jc w:val="left"/>
        <w:rPr>
          <w:rFonts w:ascii="Century Gothic" w:hAnsi="Century Gothic"/>
          <w:b/>
        </w:rPr>
      </w:pPr>
      <w:r w:rsidRPr="0090750A">
        <w:rPr>
          <w:rFonts w:ascii="Century Gothic" w:hAnsi="Century Gothic"/>
          <w:b/>
        </w:rPr>
        <w:t>LQAS-</w:t>
      </w:r>
      <w:r w:rsidR="00C82CBE" w:rsidRPr="0090750A">
        <w:rPr>
          <w:rFonts w:ascii="Century Gothic" w:hAnsi="Century Gothic"/>
          <w:b/>
        </w:rPr>
        <w:t>Based Health and Health Service M</w:t>
      </w:r>
      <w:r w:rsidRPr="0090750A">
        <w:rPr>
          <w:rFonts w:ascii="Century Gothic" w:hAnsi="Century Gothic"/>
          <w:b/>
        </w:rPr>
        <w:t>onitoring</w:t>
      </w:r>
      <w:r w:rsidR="00C82CBE" w:rsidRPr="0090750A">
        <w:rPr>
          <w:rFonts w:ascii="Century Gothic" w:hAnsi="Century Gothic"/>
          <w:b/>
        </w:rPr>
        <w:t xml:space="preserve"> S</w:t>
      </w:r>
      <w:r w:rsidR="00821312" w:rsidRPr="0090750A">
        <w:rPr>
          <w:rFonts w:ascii="Century Gothic" w:hAnsi="Century Gothic"/>
          <w:b/>
        </w:rPr>
        <w:t>ystem</w:t>
      </w:r>
      <w:r w:rsidRPr="0090750A">
        <w:rPr>
          <w:rFonts w:ascii="Century Gothic" w:hAnsi="Century Gothic"/>
          <w:b/>
        </w:rPr>
        <w:t xml:space="preserve"> in Uganda</w:t>
      </w:r>
      <w:r w:rsidR="00687F83" w:rsidRPr="0090750A">
        <w:rPr>
          <w:rFonts w:ascii="Century Gothic" w:hAnsi="Century Gothic"/>
          <w:b/>
        </w:rPr>
        <w:t xml:space="preserve"> </w:t>
      </w:r>
    </w:p>
    <w:p w14:paraId="40BC598F" w14:textId="0FDD1654" w:rsidR="00C82CBE" w:rsidRPr="0090750A" w:rsidRDefault="00687F83" w:rsidP="004C38B1">
      <w:pPr>
        <w:spacing w:after="120" w:line="300" w:lineRule="auto"/>
        <w:jc w:val="left"/>
        <w:rPr>
          <w:rFonts w:ascii="Garamond" w:hAnsi="Garamond"/>
          <w:sz w:val="22"/>
          <w:szCs w:val="22"/>
        </w:rPr>
      </w:pPr>
      <w:r w:rsidRPr="0090750A">
        <w:rPr>
          <w:rFonts w:ascii="Garamond" w:hAnsi="Garamond"/>
          <w:sz w:val="22"/>
          <w:szCs w:val="22"/>
        </w:rPr>
        <w:t xml:space="preserve">In 2009, the Ministry of Health of Uganda received technical and financial support from USAID </w:t>
      </w:r>
      <w:r w:rsidR="00C82CBE" w:rsidRPr="0090750A">
        <w:rPr>
          <w:rFonts w:ascii="Garamond" w:hAnsi="Garamond"/>
          <w:sz w:val="22"/>
          <w:szCs w:val="22"/>
        </w:rPr>
        <w:t>to design, develop, operate, and sustain</w:t>
      </w:r>
      <w:r w:rsidRPr="0090750A">
        <w:rPr>
          <w:rFonts w:ascii="Garamond" w:hAnsi="Garamond"/>
          <w:sz w:val="22"/>
          <w:szCs w:val="22"/>
        </w:rPr>
        <w:t xml:space="preserve"> a health</w:t>
      </w:r>
      <w:r w:rsidR="00C82CBE" w:rsidRPr="0090750A">
        <w:rPr>
          <w:rFonts w:ascii="Garamond" w:hAnsi="Garamond"/>
          <w:sz w:val="22"/>
          <w:szCs w:val="22"/>
        </w:rPr>
        <w:t>-</w:t>
      </w:r>
      <w:r w:rsidRPr="0090750A">
        <w:rPr>
          <w:rFonts w:ascii="Garamond" w:hAnsi="Garamond"/>
          <w:sz w:val="22"/>
          <w:szCs w:val="22"/>
        </w:rPr>
        <w:t xml:space="preserve">monitoring </w:t>
      </w:r>
      <w:r w:rsidR="00C82CBE" w:rsidRPr="0090750A">
        <w:rPr>
          <w:rFonts w:ascii="Garamond" w:hAnsi="Garamond"/>
          <w:sz w:val="22"/>
          <w:szCs w:val="22"/>
        </w:rPr>
        <w:t>system</w:t>
      </w:r>
      <w:r w:rsidRPr="0090750A">
        <w:rPr>
          <w:rFonts w:ascii="Garamond" w:hAnsi="Garamond"/>
          <w:sz w:val="22"/>
          <w:szCs w:val="22"/>
        </w:rPr>
        <w:t xml:space="preserve"> based on district</w:t>
      </w:r>
      <w:r w:rsidR="00C82CBE" w:rsidRPr="0090750A">
        <w:rPr>
          <w:rFonts w:ascii="Garamond" w:hAnsi="Garamond"/>
          <w:sz w:val="22"/>
          <w:szCs w:val="22"/>
        </w:rPr>
        <w:t>-</w:t>
      </w:r>
      <w:r w:rsidRPr="0090750A">
        <w:rPr>
          <w:rFonts w:ascii="Garamond" w:hAnsi="Garamond"/>
          <w:sz w:val="22"/>
          <w:szCs w:val="22"/>
        </w:rPr>
        <w:t xml:space="preserve">level surveying of the </w:t>
      </w:r>
      <w:r w:rsidRPr="0090750A">
        <w:rPr>
          <w:rFonts w:ascii="Garamond" w:hAnsi="Garamond"/>
          <w:sz w:val="22"/>
          <w:szCs w:val="22"/>
        </w:rPr>
        <w:lastRenderedPageBreak/>
        <w:t>health situation in sampled communities and households, using the small</w:t>
      </w:r>
      <w:r w:rsidR="00C82CBE" w:rsidRPr="0090750A">
        <w:rPr>
          <w:rFonts w:ascii="Garamond" w:hAnsi="Garamond"/>
          <w:sz w:val="22"/>
          <w:szCs w:val="22"/>
        </w:rPr>
        <w:t>-</w:t>
      </w:r>
      <w:r w:rsidRPr="0090750A">
        <w:rPr>
          <w:rFonts w:ascii="Garamond" w:hAnsi="Garamond"/>
          <w:sz w:val="22"/>
          <w:szCs w:val="22"/>
        </w:rPr>
        <w:t xml:space="preserve">sample approach called </w:t>
      </w:r>
      <w:r w:rsidR="00427A79" w:rsidRPr="0090750A">
        <w:rPr>
          <w:rFonts w:ascii="Garamond" w:hAnsi="Garamond"/>
          <w:sz w:val="22"/>
          <w:szCs w:val="22"/>
        </w:rPr>
        <w:t>lot quality assurance sampling</w:t>
      </w:r>
      <w:r w:rsidR="00C82CBE" w:rsidRPr="0090750A">
        <w:rPr>
          <w:rFonts w:ascii="Garamond" w:hAnsi="Garamond"/>
          <w:sz w:val="22"/>
          <w:szCs w:val="22"/>
        </w:rPr>
        <w:t xml:space="preserve"> (LQAS)</w:t>
      </w:r>
      <w:r w:rsidRPr="0090750A">
        <w:rPr>
          <w:rFonts w:ascii="Garamond" w:hAnsi="Garamond"/>
          <w:sz w:val="22"/>
          <w:szCs w:val="22"/>
        </w:rPr>
        <w:t>. Several levels of coordination and collaboration were required to carry this out</w:t>
      </w:r>
      <w:r w:rsidR="00C82CBE" w:rsidRPr="0090750A">
        <w:rPr>
          <w:rFonts w:ascii="Garamond" w:hAnsi="Garamond"/>
          <w:sz w:val="22"/>
          <w:szCs w:val="22"/>
        </w:rPr>
        <w:t>. Especially important were the cross-</w:t>
      </w:r>
      <w:r w:rsidR="00BB1C41">
        <w:rPr>
          <w:rFonts w:ascii="Garamond" w:hAnsi="Garamond"/>
          <w:sz w:val="22"/>
          <w:szCs w:val="22"/>
        </w:rPr>
        <w:t>m</w:t>
      </w:r>
      <w:r w:rsidR="00C82CBE" w:rsidRPr="0090750A">
        <w:rPr>
          <w:rFonts w:ascii="Garamond" w:hAnsi="Garamond"/>
          <w:sz w:val="22"/>
          <w:szCs w:val="22"/>
        </w:rPr>
        <w:t>inistry coordination at the central level, and the partnerships at the district level, as described below:</w:t>
      </w:r>
    </w:p>
    <w:p w14:paraId="52E5A3E7" w14:textId="4AC21319" w:rsidR="00BE0FE1" w:rsidRPr="004C38B1" w:rsidRDefault="00E06027" w:rsidP="004C38B1">
      <w:pPr>
        <w:pStyle w:val="ListParagraph"/>
        <w:numPr>
          <w:ilvl w:val="0"/>
          <w:numId w:val="9"/>
        </w:numPr>
        <w:spacing w:after="120" w:line="300" w:lineRule="auto"/>
        <w:contextualSpacing w:val="0"/>
        <w:jc w:val="left"/>
        <w:rPr>
          <w:rFonts w:ascii="Garamond" w:hAnsi="Garamond"/>
          <w:b/>
          <w:sz w:val="22"/>
          <w:szCs w:val="22"/>
        </w:rPr>
      </w:pPr>
      <w:r w:rsidRPr="0090750A">
        <w:rPr>
          <w:rFonts w:ascii="Garamond" w:hAnsi="Garamond"/>
          <w:b/>
          <w:sz w:val="22"/>
          <w:szCs w:val="22"/>
        </w:rPr>
        <w:t>Central Level</w:t>
      </w:r>
      <w:r w:rsidR="00C82CBE" w:rsidRPr="0090750A">
        <w:rPr>
          <w:rFonts w:ascii="Garamond" w:hAnsi="Garamond"/>
          <w:b/>
          <w:sz w:val="22"/>
          <w:szCs w:val="22"/>
        </w:rPr>
        <w:t xml:space="preserve">. </w:t>
      </w:r>
      <w:r w:rsidRPr="0090750A">
        <w:rPr>
          <w:rFonts w:ascii="Garamond" w:hAnsi="Garamond"/>
          <w:sz w:val="22"/>
          <w:szCs w:val="22"/>
        </w:rPr>
        <w:t xml:space="preserve">The main coordination mechanism was the LQAS </w:t>
      </w:r>
      <w:r w:rsidR="00BB1C41" w:rsidRPr="0090750A">
        <w:rPr>
          <w:rFonts w:ascii="Garamond" w:hAnsi="Garamond"/>
          <w:sz w:val="22"/>
          <w:szCs w:val="22"/>
        </w:rPr>
        <w:t>technical steering committee</w:t>
      </w:r>
      <w:r w:rsidRPr="0090750A">
        <w:rPr>
          <w:rFonts w:ascii="Garamond" w:hAnsi="Garamond"/>
          <w:sz w:val="22"/>
          <w:szCs w:val="22"/>
        </w:rPr>
        <w:t>.  This body met periodically to review and guide the development and implement</w:t>
      </w:r>
      <w:r w:rsidR="00821312" w:rsidRPr="0090750A">
        <w:rPr>
          <w:rFonts w:ascii="Garamond" w:hAnsi="Garamond"/>
          <w:sz w:val="22"/>
          <w:szCs w:val="22"/>
        </w:rPr>
        <w:t xml:space="preserve">ation of the </w:t>
      </w:r>
      <w:r w:rsidR="006211F2" w:rsidRPr="0090750A">
        <w:rPr>
          <w:rFonts w:ascii="Garamond" w:hAnsi="Garamond"/>
          <w:sz w:val="22"/>
          <w:szCs w:val="22"/>
        </w:rPr>
        <w:t xml:space="preserve">new health monitoring </w:t>
      </w:r>
      <w:r w:rsidR="00821312" w:rsidRPr="0090750A">
        <w:rPr>
          <w:rFonts w:ascii="Garamond" w:hAnsi="Garamond"/>
          <w:sz w:val="22"/>
          <w:szCs w:val="22"/>
        </w:rPr>
        <w:t>system</w:t>
      </w:r>
      <w:r w:rsidRPr="0090750A">
        <w:rPr>
          <w:rFonts w:ascii="Garamond" w:hAnsi="Garamond"/>
          <w:sz w:val="22"/>
          <w:szCs w:val="22"/>
        </w:rPr>
        <w:t>. Its membership included relevant departments from the Ministry of Health (</w:t>
      </w:r>
      <w:r w:rsidR="00C82CBE" w:rsidRPr="0090750A">
        <w:rPr>
          <w:rFonts w:ascii="Garamond" w:hAnsi="Garamond"/>
          <w:sz w:val="22"/>
          <w:szCs w:val="22"/>
        </w:rPr>
        <w:t>p</w:t>
      </w:r>
      <w:r w:rsidRPr="0090750A">
        <w:rPr>
          <w:rFonts w:ascii="Garamond" w:hAnsi="Garamond"/>
          <w:sz w:val="22"/>
          <w:szCs w:val="22"/>
        </w:rPr>
        <w:t xml:space="preserve">olicy and </w:t>
      </w:r>
      <w:r w:rsidR="00C82CBE" w:rsidRPr="0090750A">
        <w:rPr>
          <w:rFonts w:ascii="Garamond" w:hAnsi="Garamond"/>
          <w:sz w:val="22"/>
          <w:szCs w:val="22"/>
        </w:rPr>
        <w:t>p</w:t>
      </w:r>
      <w:r w:rsidRPr="0090750A">
        <w:rPr>
          <w:rFonts w:ascii="Garamond" w:hAnsi="Garamond"/>
          <w:sz w:val="22"/>
          <w:szCs w:val="22"/>
        </w:rPr>
        <w:t>lanning, HMIS,</w:t>
      </w:r>
      <w:r w:rsidR="0090750A">
        <w:rPr>
          <w:rFonts w:ascii="Garamond" w:hAnsi="Garamond"/>
          <w:sz w:val="22"/>
          <w:szCs w:val="22"/>
        </w:rPr>
        <w:t xml:space="preserve"> </w:t>
      </w:r>
      <w:r w:rsidR="00C82CBE" w:rsidRPr="0090750A">
        <w:rPr>
          <w:rFonts w:ascii="Garamond" w:hAnsi="Garamond"/>
          <w:sz w:val="22"/>
          <w:szCs w:val="22"/>
        </w:rPr>
        <w:t>and</w:t>
      </w:r>
      <w:r w:rsidRPr="0090750A">
        <w:rPr>
          <w:rFonts w:ascii="Garamond" w:hAnsi="Garamond"/>
          <w:sz w:val="22"/>
          <w:szCs w:val="22"/>
        </w:rPr>
        <w:t xml:space="preserve"> health</w:t>
      </w:r>
      <w:r w:rsidR="00C82CBE" w:rsidRPr="0090750A">
        <w:rPr>
          <w:rFonts w:ascii="Garamond" w:hAnsi="Garamond"/>
          <w:sz w:val="22"/>
          <w:szCs w:val="22"/>
        </w:rPr>
        <w:t>-</w:t>
      </w:r>
      <w:r w:rsidRPr="0090750A">
        <w:rPr>
          <w:rFonts w:ascii="Garamond" w:hAnsi="Garamond"/>
          <w:sz w:val="22"/>
          <w:szCs w:val="22"/>
        </w:rPr>
        <w:t>service quality assurance), the Ministry of Local Government (</w:t>
      </w:r>
      <w:r w:rsidR="00C82CBE" w:rsidRPr="0090750A">
        <w:rPr>
          <w:rFonts w:ascii="Garamond" w:hAnsi="Garamond"/>
          <w:sz w:val="22"/>
          <w:szCs w:val="22"/>
        </w:rPr>
        <w:t>planning and b</w:t>
      </w:r>
      <w:r w:rsidR="006211F2" w:rsidRPr="0090750A">
        <w:rPr>
          <w:rFonts w:ascii="Garamond" w:hAnsi="Garamond"/>
          <w:sz w:val="22"/>
          <w:szCs w:val="22"/>
        </w:rPr>
        <w:t xml:space="preserve">udgeting), </w:t>
      </w:r>
      <w:r w:rsidRPr="0090750A">
        <w:rPr>
          <w:rFonts w:ascii="Garamond" w:hAnsi="Garamond"/>
          <w:sz w:val="22"/>
          <w:szCs w:val="22"/>
        </w:rPr>
        <w:t>representatives of donor agencies and projects, and national institutions involved in training in health monitoring, evaluation</w:t>
      </w:r>
      <w:r w:rsidR="00821312" w:rsidRPr="0090750A">
        <w:rPr>
          <w:rFonts w:ascii="Garamond" w:hAnsi="Garamond"/>
          <w:sz w:val="22"/>
          <w:szCs w:val="22"/>
        </w:rPr>
        <w:t>, and health</w:t>
      </w:r>
      <w:r w:rsidR="00C82CBE" w:rsidRPr="0090750A">
        <w:rPr>
          <w:rFonts w:ascii="Garamond" w:hAnsi="Garamond"/>
          <w:sz w:val="22"/>
          <w:szCs w:val="22"/>
        </w:rPr>
        <w:t>-</w:t>
      </w:r>
      <w:r w:rsidR="00821312" w:rsidRPr="0090750A">
        <w:rPr>
          <w:rFonts w:ascii="Garamond" w:hAnsi="Garamond"/>
          <w:sz w:val="22"/>
          <w:szCs w:val="22"/>
        </w:rPr>
        <w:t>servic</w:t>
      </w:r>
      <w:r w:rsidR="006211F2" w:rsidRPr="0090750A">
        <w:rPr>
          <w:rFonts w:ascii="Garamond" w:hAnsi="Garamond"/>
          <w:sz w:val="22"/>
          <w:szCs w:val="22"/>
        </w:rPr>
        <w:t>es research (who</w:t>
      </w:r>
      <w:r w:rsidR="00821312" w:rsidRPr="0090750A">
        <w:rPr>
          <w:rFonts w:ascii="Garamond" w:hAnsi="Garamond"/>
          <w:sz w:val="22"/>
          <w:szCs w:val="22"/>
        </w:rPr>
        <w:t xml:space="preserve"> tailored their M&amp;E courses to </w:t>
      </w:r>
      <w:r w:rsidR="00BE0FE1">
        <w:rPr>
          <w:rFonts w:ascii="Garamond" w:hAnsi="Garamond"/>
          <w:sz w:val="22"/>
          <w:szCs w:val="22"/>
        </w:rPr>
        <w:t xml:space="preserve">build capacity and </w:t>
      </w:r>
      <w:r w:rsidR="00821312" w:rsidRPr="0090750A">
        <w:rPr>
          <w:rFonts w:ascii="Garamond" w:hAnsi="Garamond"/>
          <w:sz w:val="22"/>
          <w:szCs w:val="22"/>
        </w:rPr>
        <w:t>support the LQAS system).</w:t>
      </w:r>
    </w:p>
    <w:p w14:paraId="4ECDB93F" w14:textId="7F53EC67" w:rsidR="00051206" w:rsidRDefault="00080F1F" w:rsidP="004C38B1">
      <w:pPr>
        <w:pStyle w:val="ListParagraph"/>
        <w:numPr>
          <w:ilvl w:val="0"/>
          <w:numId w:val="9"/>
        </w:numPr>
        <w:spacing w:after="120" w:line="300" w:lineRule="auto"/>
        <w:contextualSpacing w:val="0"/>
        <w:jc w:val="left"/>
        <w:rPr>
          <w:rFonts w:ascii="Garamond" w:hAnsi="Garamond"/>
          <w:b/>
          <w:sz w:val="22"/>
          <w:szCs w:val="22"/>
        </w:rPr>
      </w:pPr>
      <w:r w:rsidRPr="0090750A">
        <w:rPr>
          <w:rFonts w:ascii="Garamond" w:hAnsi="Garamond"/>
          <w:b/>
          <w:sz w:val="22"/>
          <w:szCs w:val="22"/>
        </w:rPr>
        <w:t>District Level</w:t>
      </w:r>
      <w:r w:rsidR="00C82CBE" w:rsidRPr="0090750A">
        <w:rPr>
          <w:rFonts w:ascii="Garamond" w:hAnsi="Garamond"/>
          <w:b/>
          <w:sz w:val="22"/>
          <w:szCs w:val="22"/>
        </w:rPr>
        <w:t>.</w:t>
      </w:r>
      <w:r w:rsidR="00C82CBE" w:rsidRPr="0090750A">
        <w:rPr>
          <w:rFonts w:ascii="Garamond" w:hAnsi="Garamond"/>
          <w:sz w:val="22"/>
          <w:szCs w:val="22"/>
        </w:rPr>
        <w:t xml:space="preserve"> </w:t>
      </w:r>
      <w:r w:rsidRPr="0090750A">
        <w:rPr>
          <w:rFonts w:ascii="Garamond" w:hAnsi="Garamond"/>
          <w:sz w:val="22"/>
          <w:szCs w:val="22"/>
        </w:rPr>
        <w:t>The pri</w:t>
      </w:r>
      <w:r w:rsidR="00C82CBE" w:rsidRPr="0090750A">
        <w:rPr>
          <w:rFonts w:ascii="Garamond" w:hAnsi="Garamond"/>
          <w:sz w:val="22"/>
          <w:szCs w:val="22"/>
        </w:rPr>
        <w:t>mary</w:t>
      </w:r>
      <w:r w:rsidRPr="0090750A">
        <w:rPr>
          <w:rFonts w:ascii="Garamond" w:hAnsi="Garamond"/>
          <w:sz w:val="22"/>
          <w:szCs w:val="22"/>
        </w:rPr>
        <w:t xml:space="preserve"> offices responsible for health and service monitoring at the district level are the </w:t>
      </w:r>
      <w:r w:rsidR="00BB1C41" w:rsidRPr="0090750A">
        <w:rPr>
          <w:rFonts w:ascii="Garamond" w:hAnsi="Garamond"/>
          <w:sz w:val="22"/>
          <w:szCs w:val="22"/>
        </w:rPr>
        <w:t>district civil administration office and the district health office</w:t>
      </w:r>
      <w:r w:rsidRPr="0090750A">
        <w:rPr>
          <w:rFonts w:ascii="Garamond" w:hAnsi="Garamond"/>
          <w:sz w:val="22"/>
          <w:szCs w:val="22"/>
        </w:rPr>
        <w:t xml:space="preserve">.  </w:t>
      </w:r>
      <w:r w:rsidR="00C82CBE" w:rsidRPr="0090750A">
        <w:rPr>
          <w:rFonts w:ascii="Garamond" w:hAnsi="Garamond"/>
          <w:sz w:val="22"/>
          <w:szCs w:val="22"/>
        </w:rPr>
        <w:t>However, o</w:t>
      </w:r>
      <w:r w:rsidRPr="0090750A">
        <w:rPr>
          <w:rFonts w:ascii="Garamond" w:hAnsi="Garamond"/>
          <w:sz w:val="22"/>
          <w:szCs w:val="22"/>
        </w:rPr>
        <w:t>ther partners were needed to successfully operate the new monitoring process, which includes community LQAS surveys, facility surveys</w:t>
      </w:r>
      <w:r w:rsidR="00C82CBE" w:rsidRPr="0090750A">
        <w:rPr>
          <w:rFonts w:ascii="Garamond" w:hAnsi="Garamond"/>
          <w:sz w:val="22"/>
          <w:szCs w:val="22"/>
        </w:rPr>
        <w:t>,</w:t>
      </w:r>
      <w:r w:rsidRPr="0090750A">
        <w:rPr>
          <w:rFonts w:ascii="Garamond" w:hAnsi="Garamond"/>
          <w:sz w:val="22"/>
          <w:szCs w:val="22"/>
        </w:rPr>
        <w:t xml:space="preserve"> and </w:t>
      </w:r>
      <w:r w:rsidR="00C82CBE" w:rsidRPr="0090750A">
        <w:rPr>
          <w:rFonts w:ascii="Garamond" w:hAnsi="Garamond"/>
          <w:sz w:val="22"/>
          <w:szCs w:val="22"/>
        </w:rPr>
        <w:t xml:space="preserve">intervention planning for </w:t>
      </w:r>
      <w:r w:rsidRPr="0090750A">
        <w:rPr>
          <w:rFonts w:ascii="Garamond" w:hAnsi="Garamond"/>
          <w:sz w:val="22"/>
          <w:szCs w:val="22"/>
        </w:rPr>
        <w:t>service performance improvement</w:t>
      </w:r>
      <w:r w:rsidR="00C82CBE" w:rsidRPr="0090750A">
        <w:rPr>
          <w:rFonts w:ascii="Garamond" w:hAnsi="Garamond"/>
          <w:sz w:val="22"/>
          <w:szCs w:val="22"/>
        </w:rPr>
        <w:t xml:space="preserve">. </w:t>
      </w:r>
      <w:r w:rsidRPr="0090750A">
        <w:rPr>
          <w:rFonts w:ascii="Garamond" w:hAnsi="Garamond"/>
          <w:sz w:val="22"/>
          <w:szCs w:val="22"/>
        </w:rPr>
        <w:t>USAID</w:t>
      </w:r>
      <w:r w:rsidR="00C82CBE" w:rsidRPr="0090750A">
        <w:rPr>
          <w:rFonts w:ascii="Garamond" w:hAnsi="Garamond"/>
          <w:sz w:val="22"/>
          <w:szCs w:val="22"/>
        </w:rPr>
        <w:t>’s</w:t>
      </w:r>
      <w:r w:rsidRPr="0090750A">
        <w:rPr>
          <w:rFonts w:ascii="Garamond" w:hAnsi="Garamond"/>
          <w:sz w:val="22"/>
          <w:szCs w:val="22"/>
        </w:rPr>
        <w:t xml:space="preserve"> LQAS</w:t>
      </w:r>
      <w:r w:rsidR="00C82CBE" w:rsidRPr="0090750A">
        <w:rPr>
          <w:rFonts w:ascii="Garamond" w:hAnsi="Garamond"/>
          <w:sz w:val="22"/>
          <w:szCs w:val="22"/>
        </w:rPr>
        <w:t xml:space="preserve"> project helped prepare</w:t>
      </w:r>
      <w:r w:rsidRPr="0090750A">
        <w:rPr>
          <w:rFonts w:ascii="Garamond" w:hAnsi="Garamond"/>
          <w:sz w:val="22"/>
          <w:szCs w:val="22"/>
        </w:rPr>
        <w:t xml:space="preserve"> </w:t>
      </w:r>
      <w:r w:rsidR="00C82CBE" w:rsidRPr="0090750A">
        <w:rPr>
          <w:rFonts w:ascii="Garamond" w:hAnsi="Garamond"/>
          <w:sz w:val="22"/>
          <w:szCs w:val="22"/>
        </w:rPr>
        <w:t>district and facility sta</w:t>
      </w:r>
      <w:r w:rsidRPr="0090750A">
        <w:rPr>
          <w:rFonts w:ascii="Garamond" w:hAnsi="Garamond"/>
          <w:sz w:val="22"/>
          <w:szCs w:val="22"/>
        </w:rPr>
        <w:t xml:space="preserve">ff </w:t>
      </w:r>
      <w:r w:rsidR="00C82CBE" w:rsidRPr="0090750A">
        <w:rPr>
          <w:rFonts w:ascii="Garamond" w:hAnsi="Garamond"/>
          <w:sz w:val="22"/>
          <w:szCs w:val="22"/>
        </w:rPr>
        <w:t>to monitor, analyze and manage data.</w:t>
      </w:r>
      <w:r w:rsidRPr="0090750A">
        <w:rPr>
          <w:rFonts w:ascii="Garamond" w:hAnsi="Garamond"/>
          <w:sz w:val="22"/>
          <w:szCs w:val="22"/>
        </w:rPr>
        <w:t xml:space="preserve"> M&amp;E officers from project implementing partners </w:t>
      </w:r>
      <w:r w:rsidR="006211F2" w:rsidRPr="0090750A">
        <w:rPr>
          <w:rFonts w:ascii="Garamond" w:hAnsi="Garamond"/>
          <w:sz w:val="22"/>
          <w:szCs w:val="22"/>
        </w:rPr>
        <w:t xml:space="preserve">(IPs) </w:t>
      </w:r>
      <w:r w:rsidRPr="0090750A">
        <w:rPr>
          <w:rFonts w:ascii="Garamond" w:hAnsi="Garamond"/>
          <w:sz w:val="22"/>
          <w:szCs w:val="22"/>
        </w:rPr>
        <w:t xml:space="preserve">active in the district </w:t>
      </w:r>
      <w:r w:rsidR="00821312" w:rsidRPr="0090750A">
        <w:rPr>
          <w:rFonts w:ascii="Garamond" w:hAnsi="Garamond"/>
          <w:sz w:val="22"/>
          <w:szCs w:val="22"/>
        </w:rPr>
        <w:t>also participated in training and facilitation</w:t>
      </w:r>
      <w:r w:rsidR="00C82CBE" w:rsidRPr="0090750A">
        <w:rPr>
          <w:rFonts w:ascii="Garamond" w:hAnsi="Garamond"/>
          <w:sz w:val="22"/>
          <w:szCs w:val="22"/>
        </w:rPr>
        <w:t>.</w:t>
      </w:r>
      <w:r w:rsidR="00821312" w:rsidRPr="0090750A">
        <w:rPr>
          <w:rFonts w:ascii="Garamond" w:hAnsi="Garamond"/>
          <w:sz w:val="22"/>
          <w:szCs w:val="22"/>
        </w:rPr>
        <w:t xml:space="preserve"> In addition, a cadre of national LQAS facilitators and</w:t>
      </w:r>
      <w:r w:rsidR="00C82CBE" w:rsidRPr="0090750A">
        <w:rPr>
          <w:rFonts w:ascii="Garamond" w:hAnsi="Garamond"/>
          <w:sz w:val="22"/>
          <w:szCs w:val="22"/>
        </w:rPr>
        <w:t xml:space="preserve"> </w:t>
      </w:r>
      <w:r w:rsidR="00821312" w:rsidRPr="0090750A">
        <w:rPr>
          <w:rFonts w:ascii="Garamond" w:hAnsi="Garamond"/>
          <w:sz w:val="22"/>
          <w:szCs w:val="22"/>
        </w:rPr>
        <w:t xml:space="preserve">master trainers were prepared and assigned to support each </w:t>
      </w:r>
      <w:r w:rsidR="006211F2" w:rsidRPr="0090750A">
        <w:rPr>
          <w:rFonts w:ascii="Garamond" w:hAnsi="Garamond"/>
          <w:sz w:val="22"/>
          <w:szCs w:val="22"/>
        </w:rPr>
        <w:t xml:space="preserve">district </w:t>
      </w:r>
      <w:r w:rsidR="00821312" w:rsidRPr="0090750A">
        <w:rPr>
          <w:rFonts w:ascii="Garamond" w:hAnsi="Garamond"/>
          <w:sz w:val="22"/>
          <w:szCs w:val="22"/>
        </w:rPr>
        <w:t xml:space="preserve">process.  </w:t>
      </w:r>
      <w:r w:rsidR="00C82CBE" w:rsidRPr="0090750A">
        <w:rPr>
          <w:rFonts w:ascii="Garamond" w:hAnsi="Garamond"/>
          <w:sz w:val="22"/>
          <w:szCs w:val="22"/>
        </w:rPr>
        <w:t>Moreover,</w:t>
      </w:r>
      <w:r w:rsidR="00821312" w:rsidRPr="0090750A">
        <w:rPr>
          <w:rFonts w:ascii="Garamond" w:hAnsi="Garamond"/>
          <w:sz w:val="22"/>
          <w:szCs w:val="22"/>
        </w:rPr>
        <w:t xml:space="preserve"> local health NGOs and community representatives were called on to support the processes and the review and response to the findings.</w:t>
      </w:r>
      <w:r w:rsidR="006211F2" w:rsidRPr="0090750A">
        <w:rPr>
          <w:rFonts w:ascii="Garamond" w:hAnsi="Garamond"/>
          <w:sz w:val="22"/>
          <w:szCs w:val="22"/>
        </w:rPr>
        <w:t xml:space="preserve">  </w:t>
      </w:r>
      <w:r w:rsidR="00C82CBE" w:rsidRPr="0090750A">
        <w:rPr>
          <w:rFonts w:ascii="Garamond" w:hAnsi="Garamond"/>
          <w:sz w:val="22"/>
          <w:szCs w:val="22"/>
        </w:rPr>
        <w:t>T</w:t>
      </w:r>
      <w:r w:rsidR="000479DC" w:rsidRPr="0090750A">
        <w:rPr>
          <w:rFonts w:ascii="Garamond" w:hAnsi="Garamond"/>
          <w:sz w:val="22"/>
          <w:szCs w:val="22"/>
        </w:rPr>
        <w:t xml:space="preserve">he </w:t>
      </w:r>
      <w:r w:rsidR="00BB1C41" w:rsidRPr="0090750A">
        <w:rPr>
          <w:rFonts w:ascii="Garamond" w:hAnsi="Garamond"/>
          <w:sz w:val="22"/>
          <w:szCs w:val="22"/>
        </w:rPr>
        <w:t xml:space="preserve">district health office </w:t>
      </w:r>
      <w:r w:rsidR="000479DC" w:rsidRPr="0090750A">
        <w:rPr>
          <w:rFonts w:ascii="Garamond" w:hAnsi="Garamond"/>
          <w:sz w:val="22"/>
          <w:szCs w:val="22"/>
        </w:rPr>
        <w:t xml:space="preserve">led and managed the </w:t>
      </w:r>
      <w:r w:rsidR="00C82CBE" w:rsidRPr="0090750A">
        <w:rPr>
          <w:rFonts w:ascii="Garamond" w:hAnsi="Garamond"/>
          <w:sz w:val="22"/>
          <w:szCs w:val="22"/>
        </w:rPr>
        <w:t>process and e</w:t>
      </w:r>
      <w:r w:rsidR="000479DC" w:rsidRPr="0090750A">
        <w:rPr>
          <w:rFonts w:ascii="Garamond" w:hAnsi="Garamond"/>
          <w:sz w:val="22"/>
          <w:szCs w:val="22"/>
        </w:rPr>
        <w:t>nsured that activities were funded through district budgets and</w:t>
      </w:r>
      <w:r w:rsidR="000479DC">
        <w:t xml:space="preserve"> </w:t>
      </w:r>
      <w:r w:rsidR="000479DC" w:rsidRPr="0090750A">
        <w:rPr>
          <w:rFonts w:ascii="Garamond" w:hAnsi="Garamond"/>
          <w:sz w:val="22"/>
          <w:szCs w:val="22"/>
        </w:rPr>
        <w:t>donor project support.</w:t>
      </w:r>
    </w:p>
    <w:p w14:paraId="1B58F550" w14:textId="77777777" w:rsidR="00051206" w:rsidRPr="00051206" w:rsidRDefault="00051206" w:rsidP="00051206"/>
    <w:p w14:paraId="0E548869" w14:textId="77777777" w:rsidR="00051206" w:rsidRPr="00051206" w:rsidRDefault="00051206" w:rsidP="00051206"/>
    <w:p w14:paraId="4FA82A30" w14:textId="77777777" w:rsidR="00051206" w:rsidRPr="00051206" w:rsidRDefault="00051206" w:rsidP="00051206"/>
    <w:p w14:paraId="75FD8C94" w14:textId="77777777" w:rsidR="00051206" w:rsidRPr="00051206" w:rsidRDefault="00051206" w:rsidP="00051206"/>
    <w:p w14:paraId="773056B9" w14:textId="77777777" w:rsidR="00051206" w:rsidRPr="00051206" w:rsidRDefault="00051206" w:rsidP="00051206"/>
    <w:p w14:paraId="714B3A46" w14:textId="77777777" w:rsidR="00051206" w:rsidRPr="00051206" w:rsidRDefault="00051206" w:rsidP="00051206"/>
    <w:p w14:paraId="302FCD6E" w14:textId="77777777" w:rsidR="00051206" w:rsidRPr="00051206" w:rsidRDefault="00051206" w:rsidP="00051206"/>
    <w:p w14:paraId="5ED1887E" w14:textId="77777777" w:rsidR="00051206" w:rsidRPr="00051206" w:rsidRDefault="00051206" w:rsidP="00051206"/>
    <w:p w14:paraId="4A3EAE57" w14:textId="77777777" w:rsidR="00051206" w:rsidRPr="00051206" w:rsidRDefault="00051206" w:rsidP="00051206"/>
    <w:p w14:paraId="307669FB" w14:textId="77777777" w:rsidR="00051206" w:rsidRPr="00051206" w:rsidRDefault="00051206" w:rsidP="00051206"/>
    <w:p w14:paraId="493FA737" w14:textId="77777777" w:rsidR="00051206" w:rsidRPr="00051206" w:rsidRDefault="00051206" w:rsidP="00051206"/>
    <w:p w14:paraId="2C42D272" w14:textId="77777777" w:rsidR="00051206" w:rsidRPr="00051206" w:rsidRDefault="00051206" w:rsidP="00051206"/>
    <w:p w14:paraId="2A0E02FE" w14:textId="77777777" w:rsidR="00051206" w:rsidRPr="00051206" w:rsidRDefault="00051206" w:rsidP="00051206"/>
    <w:p w14:paraId="654743E5" w14:textId="77777777" w:rsidR="00051206" w:rsidRPr="00051206" w:rsidRDefault="00051206" w:rsidP="00051206"/>
    <w:p w14:paraId="1E1F0EFD" w14:textId="77777777" w:rsidR="00051206" w:rsidRPr="00051206" w:rsidRDefault="00051206" w:rsidP="00051206"/>
    <w:p w14:paraId="082B101F" w14:textId="77777777" w:rsidR="00051206" w:rsidRPr="00051206" w:rsidRDefault="00051206" w:rsidP="00051206"/>
    <w:p w14:paraId="51A120C1" w14:textId="18D74B32" w:rsidR="00051206" w:rsidRDefault="00051206" w:rsidP="00051206">
      <w:r>
        <w:rPr>
          <w:noProof/>
        </w:rPr>
        <w:drawing>
          <wp:anchor distT="0" distB="0" distL="114300" distR="114300" simplePos="0" relativeHeight="251664384" behindDoc="0" locked="0" layoutInCell="1" allowOverlap="1" wp14:anchorId="13EFE9E6" wp14:editId="51F79B83">
            <wp:simplePos x="0" y="0"/>
            <wp:positionH relativeFrom="column">
              <wp:posOffset>-183515</wp:posOffset>
            </wp:positionH>
            <wp:positionV relativeFrom="paragraph">
              <wp:posOffset>243840</wp:posOffset>
            </wp:positionV>
            <wp:extent cx="6284849" cy="18484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Logo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849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46995" w14:textId="6C33C346" w:rsidR="00051206" w:rsidRPr="00051206" w:rsidRDefault="00051206" w:rsidP="00051206"/>
    <w:p w14:paraId="260F0463" w14:textId="50BAA129" w:rsidR="00080F1F" w:rsidRPr="00051206" w:rsidRDefault="00051206" w:rsidP="00051206">
      <w:pPr>
        <w:tabs>
          <w:tab w:val="left" w:pos="2560"/>
          <w:tab w:val="center" w:pos="4513"/>
        </w:tabs>
        <w:jc w:val="left"/>
      </w:pPr>
      <w:r>
        <w:tab/>
      </w:r>
      <w:r>
        <w:tab/>
      </w:r>
      <w:r>
        <w:tab/>
      </w:r>
      <w:r>
        <w:tab/>
      </w:r>
    </w:p>
    <w:sectPr w:rsidR="00080F1F" w:rsidRPr="00051206" w:rsidSect="00044C3C">
      <w:pgSz w:w="11907" w:h="16839" w:code="9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7BBEB" w14:textId="77777777" w:rsidR="00DD23C3" w:rsidRDefault="00DD23C3" w:rsidP="00DC63C6">
      <w:r>
        <w:separator/>
      </w:r>
    </w:p>
  </w:endnote>
  <w:endnote w:type="continuationSeparator" w:id="0">
    <w:p w14:paraId="2F95FDFC" w14:textId="77777777" w:rsidR="00DD23C3" w:rsidRDefault="00DD23C3" w:rsidP="00DC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32AF1" w14:textId="77777777" w:rsidR="00DD23C3" w:rsidRDefault="00DD23C3" w:rsidP="00DC63C6">
      <w:r>
        <w:separator/>
      </w:r>
    </w:p>
  </w:footnote>
  <w:footnote w:type="continuationSeparator" w:id="0">
    <w:p w14:paraId="672481F7" w14:textId="77777777" w:rsidR="00DD23C3" w:rsidRDefault="00DD23C3" w:rsidP="00DC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2DB6"/>
    <w:multiLevelType w:val="hybridMultilevel"/>
    <w:tmpl w:val="B3E2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C784D"/>
    <w:multiLevelType w:val="hybridMultilevel"/>
    <w:tmpl w:val="0C604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1552"/>
    <w:multiLevelType w:val="hybridMultilevel"/>
    <w:tmpl w:val="3B46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E1F81"/>
    <w:multiLevelType w:val="hybridMultilevel"/>
    <w:tmpl w:val="A1549B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37D45"/>
    <w:multiLevelType w:val="hybridMultilevel"/>
    <w:tmpl w:val="A866B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AF0C12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E77FE"/>
    <w:multiLevelType w:val="hybridMultilevel"/>
    <w:tmpl w:val="1BBE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82BE6"/>
    <w:multiLevelType w:val="hybridMultilevel"/>
    <w:tmpl w:val="A8182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0C7FAA"/>
    <w:multiLevelType w:val="hybridMultilevel"/>
    <w:tmpl w:val="7312D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368CA"/>
    <w:multiLevelType w:val="hybridMultilevel"/>
    <w:tmpl w:val="CEDA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4B"/>
    <w:rsid w:val="00044C3C"/>
    <w:rsid w:val="000479DC"/>
    <w:rsid w:val="00051206"/>
    <w:rsid w:val="00080F1F"/>
    <w:rsid w:val="000D4602"/>
    <w:rsid w:val="000D4B08"/>
    <w:rsid w:val="0011712E"/>
    <w:rsid w:val="0029348D"/>
    <w:rsid w:val="002A5BA9"/>
    <w:rsid w:val="002C1A98"/>
    <w:rsid w:val="00306710"/>
    <w:rsid w:val="0042294B"/>
    <w:rsid w:val="00427A79"/>
    <w:rsid w:val="00471367"/>
    <w:rsid w:val="004914A0"/>
    <w:rsid w:val="004A7D77"/>
    <w:rsid w:val="004C38B1"/>
    <w:rsid w:val="0050651E"/>
    <w:rsid w:val="0060093A"/>
    <w:rsid w:val="006211F2"/>
    <w:rsid w:val="006318B7"/>
    <w:rsid w:val="00632108"/>
    <w:rsid w:val="00687F83"/>
    <w:rsid w:val="006C70DE"/>
    <w:rsid w:val="00821312"/>
    <w:rsid w:val="0090750A"/>
    <w:rsid w:val="009B7F50"/>
    <w:rsid w:val="00AE0BBE"/>
    <w:rsid w:val="00B136AA"/>
    <w:rsid w:val="00BB1C41"/>
    <w:rsid w:val="00BE0FE1"/>
    <w:rsid w:val="00C77891"/>
    <w:rsid w:val="00C82CBE"/>
    <w:rsid w:val="00CA56FF"/>
    <w:rsid w:val="00D63460"/>
    <w:rsid w:val="00D77CB4"/>
    <w:rsid w:val="00DC63C6"/>
    <w:rsid w:val="00DD23C3"/>
    <w:rsid w:val="00E06027"/>
    <w:rsid w:val="00E26DAC"/>
    <w:rsid w:val="00F1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F0EC"/>
  <w15:docId w15:val="{D2F47E79-F8FE-4397-B372-F254E900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3C6"/>
  </w:style>
  <w:style w:type="paragraph" w:styleId="Footer">
    <w:name w:val="footer"/>
    <w:basedOn w:val="Normal"/>
    <w:link w:val="FooterChar"/>
    <w:uiPriority w:val="99"/>
    <w:unhideWhenUsed/>
    <w:rsid w:val="00DC6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3C6"/>
  </w:style>
  <w:style w:type="paragraph" w:styleId="BalloonText">
    <w:name w:val="Balloon Text"/>
    <w:basedOn w:val="Normal"/>
    <w:link w:val="BalloonTextChar"/>
    <w:uiPriority w:val="99"/>
    <w:semiHidden/>
    <w:unhideWhenUsed/>
    <w:rsid w:val="00DC6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7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A7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3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asureevaluation.org/our-work/routine-health-information-systems/rhis-curriculu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asureevaluation.org/our-work/routine-health-information-systems/rhis-curricul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6CA768-C2A5-430D-83FD-76135DB0D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46D23-6DF1-4DA3-BEAE-0FB42F50F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73B11B-EC9E-4E33-801C-91D579F53A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SSapirie</dc:creator>
  <cp:lastModifiedBy>Hoover, Donald Wayne</cp:lastModifiedBy>
  <cp:revision>2</cp:revision>
  <dcterms:created xsi:type="dcterms:W3CDTF">2017-02-08T13:33:00Z</dcterms:created>
  <dcterms:modified xsi:type="dcterms:W3CDTF">2017-02-08T13:33:00Z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