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28C526E" w14:textId="2D739EE3" w:rsidR="00581A6A" w:rsidRDefault="00581A6A" w:rsidP="00581A6A">
      <w:pPr>
        <w:pStyle w:val="BodyText"/>
        <w:spacing w:before="76" w:line="343" w:lineRule="auto"/>
        <w:ind w:right="184"/>
        <w:rPr>
          <w:rFonts w:ascii="Century Gothic" w:hAnsi="Century Gothic"/>
          <w:b/>
          <w:bCs/>
          <w:color w:val="231F20"/>
          <w:sz w:val="36"/>
          <w:szCs w:val="20"/>
        </w:rPr>
      </w:pPr>
      <w:r>
        <w:rPr>
          <w:rFonts w:ascii="Century Gothic" w:hAnsi="Century Gothic"/>
          <w:b/>
          <w:bCs/>
          <w:noProof/>
          <w:color w:val="231F20"/>
          <w:sz w:val="36"/>
          <w:szCs w:val="20"/>
        </w:rPr>
        <mc:AlternateContent>
          <mc:Choice Requires="wps">
            <w:drawing>
              <wp:anchor distT="0" distB="0" distL="114300" distR="114300" simplePos="0" relativeHeight="251659264" behindDoc="0" locked="0" layoutInCell="1" allowOverlap="1" wp14:anchorId="389A703D" wp14:editId="0DFF63C6">
                <wp:simplePos x="0" y="0"/>
                <wp:positionH relativeFrom="column">
                  <wp:posOffset>-916305</wp:posOffset>
                </wp:positionH>
                <wp:positionV relativeFrom="paragraph">
                  <wp:posOffset>-500380</wp:posOffset>
                </wp:positionV>
                <wp:extent cx="1118235" cy="472440"/>
                <wp:effectExtent l="0" t="0" r="0" b="10160"/>
                <wp:wrapNone/>
                <wp:docPr id="12" name="Text Box 12"/>
                <wp:cNvGraphicFramePr/>
                <a:graphic xmlns:a="http://schemas.openxmlformats.org/drawingml/2006/main">
                  <a:graphicData uri="http://schemas.microsoft.com/office/word/2010/wordprocessingShape">
                    <wps:wsp>
                      <wps:cNvSpPr txBox="1"/>
                      <wps:spPr>
                        <a:xfrm>
                          <a:off x="0" y="0"/>
                          <a:ext cx="1118235" cy="472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5F8B4B" w14:textId="1C88FCD0" w:rsidR="00581A6A" w:rsidRPr="00581A6A" w:rsidRDefault="00581A6A">
                            <w:pPr>
                              <w:rPr>
                                <w:rFonts w:ascii="Century Gothic" w:hAnsi="Century Gothic"/>
                                <w:b/>
                                <w:bCs/>
                                <w:color w:val="FFFFFF" w:themeColor="background1"/>
                                <w:sz w:val="48"/>
                              </w:rPr>
                            </w:pPr>
                            <w:r>
                              <w:rPr>
                                <w:rFonts w:ascii="Century Gothic" w:hAnsi="Century Gothic"/>
                                <w:b/>
                                <w:bCs/>
                                <w:color w:val="FFFFFF" w:themeColor="background1"/>
                                <w:sz w:val="48"/>
                              </w:rPr>
                              <w:t>7.1.13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389A703D" id="_x0000_t202" coordsize="21600,21600" o:spt="202" path="m0,0l0,21600,21600,21600,21600,0xe">
                <v:stroke joinstyle="miter"/>
                <v:path gradientshapeok="t" o:connecttype="rect"/>
              </v:shapetype>
              <v:shape id="Text_x0020_Box_x0020_12" o:spid="_x0000_s1026" type="#_x0000_t202" style="position:absolute;margin-left:-72.15pt;margin-top:-39.35pt;width:88.05pt;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" filled="f" stroked="f">
                <v:textbox>
                  <w:txbxContent>
                    <w:p w14:paraId="3B5F8B4B" w14:textId="1C88FCD0" w:rsidR="00581A6A" w:rsidRPr="00581A6A" w:rsidRDefault="00581A6A">
                      <w:pPr>
                        <w:rPr>
                          <w:rFonts w:ascii="Century Gothic" w:hAnsi="Century Gothic"/>
                          <w:b/>
                          <w:bCs/>
                          <w:color w:val="FFFFFF" w:themeColor="background1"/>
                          <w:sz w:val="48"/>
                        </w:rPr>
                      </w:pPr>
                      <w:r>
                        <w:rPr>
                          <w:rFonts w:ascii="Century Gothic" w:hAnsi="Century Gothic"/>
                          <w:b/>
                          <w:bCs/>
                          <w:color w:val="FFFFFF" w:themeColor="background1"/>
                          <w:sz w:val="48"/>
                        </w:rPr>
                        <w:t>7.1.13</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8B4FE8F" wp14:editId="47A34880">
                <wp:simplePos x="0" y="0"/>
                <wp:positionH relativeFrom="margin">
                  <wp:posOffset>1905635</wp:posOffset>
                </wp:positionH>
                <wp:positionV relativeFrom="margin">
                  <wp:posOffset>-442595</wp:posOffset>
                </wp:positionV>
                <wp:extent cx="3727450" cy="541655"/>
                <wp:effectExtent l="0" t="0" r="0" b="0"/>
                <wp:wrapSquare wrapText="bothSides"/>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7450" cy="541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149C2C" w14:textId="77777777" w:rsidR="00581A6A" w:rsidRPr="00390609" w:rsidRDefault="00581A6A" w:rsidP="00581A6A">
                            <w:pPr>
                              <w:jc w:val="right"/>
                              <w:rPr>
                                <w:rFonts w:ascii="Century Gothic" w:hAnsi="Century Gothic"/>
                                <w:color w:val="808080" w:themeColor="background1" w:themeShade="80"/>
                                <w:sz w:val="16"/>
                                <w:szCs w:val="16"/>
                              </w:rPr>
                            </w:pPr>
                            <w:r w:rsidRPr="00390609">
                              <w:rPr>
                                <w:rFonts w:ascii="Century Gothic" w:hAnsi="Century Gothic"/>
                                <w:color w:val="808080" w:themeColor="background1" w:themeShade="80"/>
                                <w:sz w:val="16"/>
                                <w:szCs w:val="16"/>
                              </w:rPr>
                              <w:t xml:space="preserve">The complete RHIS curriculum is available here: </w:t>
                            </w:r>
                            <w:hyperlink r:id="rId10" w:history="1">
                              <w:r w:rsidRPr="00390609">
                                <w:rPr>
                                  <w:rStyle w:val="Hyperlink"/>
                                  <w:rFonts w:ascii="Century Gothic" w:hAnsi="Century Gothic"/>
                                  <w:color w:val="808080" w:themeColor="background1" w:themeShade="80"/>
                                  <w:sz w:val="16"/>
                                  <w:szCs w:val="16"/>
                                </w:rPr>
                                <w:t>https://www.measureevaluation.org/our-work/routine-health-information-systems/rhis-curriculum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8B4FE8F" id="Text_x0020_Box_x0020_7" o:spid="_x0000_s1027" type="#_x0000_t202" style="position:absolute;margin-left:150.05pt;margin-top:-34.8pt;width:293.5pt;height:42.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" filled="f" stroked="f" strokeweight=".5pt">
                <v:path arrowok="t"/>
                <v:textbox>
                  <w:txbxContent>
                    <w:p w14:paraId="39149C2C" w14:textId="77777777" w:rsidR="00581A6A" w:rsidRPr="00390609" w:rsidRDefault="00581A6A" w:rsidP="00581A6A">
                      <w:pPr>
                        <w:jc w:val="right"/>
                        <w:rPr>
                          <w:rFonts w:ascii="Century Gothic" w:hAnsi="Century Gothic"/>
                          <w:color w:val="808080" w:themeColor="background1" w:themeShade="80"/>
                          <w:sz w:val="16"/>
                          <w:szCs w:val="16"/>
                        </w:rPr>
                      </w:pPr>
                      <w:r w:rsidRPr="00390609">
                        <w:rPr>
                          <w:rFonts w:ascii="Century Gothic" w:hAnsi="Century Gothic"/>
                          <w:color w:val="808080" w:themeColor="background1" w:themeShade="80"/>
                          <w:sz w:val="16"/>
                          <w:szCs w:val="16"/>
                        </w:rPr>
                        <w:t xml:space="preserve">The complete RHIS curriculum is available here: </w:t>
                      </w:r>
                      <w:hyperlink r:id="rId11" w:history="1">
                        <w:r w:rsidRPr="00390609">
                          <w:rPr>
                            <w:rStyle w:val="Hyperlink"/>
                            <w:rFonts w:ascii="Century Gothic" w:hAnsi="Century Gothic"/>
                            <w:color w:val="808080" w:themeColor="background1" w:themeShade="80"/>
                            <w:sz w:val="16"/>
                            <w:szCs w:val="16"/>
                          </w:rPr>
                          <w:t>https://www.measureevaluation.org/our-work/routine-health-information-systems/rhis-curriculum</w:t>
                        </w:r>
                      </w:hyperlink>
                    </w:p>
                  </w:txbxContent>
                </v:textbox>
                <w10:wrap type="square" anchorx="margin" anchory="margin"/>
              </v:shape>
            </w:pict>
          </mc:Fallback>
        </mc:AlternateContent>
      </w:r>
      <w:r>
        <w:rPr>
          <w:rFonts w:ascii="Century Gothic" w:hAnsi="Century Gothic"/>
          <w:b/>
          <w:bCs/>
          <w:noProof/>
          <w:color w:val="231F20"/>
          <w:sz w:val="36"/>
          <w:szCs w:val="20"/>
        </w:rPr>
        <w:drawing>
          <wp:anchor distT="0" distB="0" distL="114300" distR="114300" simplePos="0" relativeHeight="251658240" behindDoc="1" locked="0" layoutInCell="1" allowOverlap="1" wp14:anchorId="72E88320" wp14:editId="7E4B13AE">
            <wp:simplePos x="0" y="0"/>
            <wp:positionH relativeFrom="column">
              <wp:posOffset>-944880</wp:posOffset>
            </wp:positionH>
            <wp:positionV relativeFrom="paragraph">
              <wp:posOffset>-850900</wp:posOffset>
            </wp:positionV>
            <wp:extent cx="3594735" cy="1192287"/>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HIS CURRICULUM FLAG_te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7794" cy="1196618"/>
                    </a:xfrm>
                    <a:prstGeom prst="rect">
                      <a:avLst/>
                    </a:prstGeom>
                  </pic:spPr>
                </pic:pic>
              </a:graphicData>
            </a:graphic>
            <wp14:sizeRelH relativeFrom="page">
              <wp14:pctWidth>0</wp14:pctWidth>
            </wp14:sizeRelH>
            <wp14:sizeRelV relativeFrom="page">
              <wp14:pctHeight>0</wp14:pctHeight>
            </wp14:sizeRelV>
          </wp:anchor>
        </w:drawing>
      </w:r>
    </w:p>
    <w:p w14:paraId="09EA0A25" w14:textId="203997D0" w:rsidR="00242025" w:rsidRPr="00581A6A" w:rsidRDefault="00581A6A" w:rsidP="00581A6A">
      <w:pPr>
        <w:pStyle w:val="BodyText"/>
        <w:spacing w:before="120" w:after="120" w:line="343" w:lineRule="auto"/>
        <w:ind w:right="184"/>
        <w:rPr>
          <w:rFonts w:ascii="Century Gothic" w:hAnsi="Century Gothic"/>
          <w:b/>
          <w:bCs/>
          <w:color w:val="231F20"/>
          <w:sz w:val="36"/>
          <w:szCs w:val="20"/>
        </w:rPr>
      </w:pPr>
      <w:r w:rsidRPr="00581A6A">
        <w:rPr>
          <w:rFonts w:ascii="Century Gothic" w:hAnsi="Century Gothic"/>
          <w:b/>
          <w:bCs/>
          <w:color w:val="231F20"/>
          <w:sz w:val="36"/>
          <w:szCs w:val="20"/>
        </w:rPr>
        <w:t>CASE STUDY ON RHIS GOVERNANCE IN MALAWI</w:t>
      </w:r>
    </w:p>
    <w:p w14:paraId="2C315FAD" w14:textId="4FF1A121" w:rsidR="00242025" w:rsidRPr="00581A6A" w:rsidRDefault="00242025" w:rsidP="00581A6A">
      <w:pPr>
        <w:pStyle w:val="ListParagraph"/>
        <w:widowControl/>
        <w:numPr>
          <w:ilvl w:val="0"/>
          <w:numId w:val="5"/>
        </w:numPr>
        <w:shd w:val="clear" w:color="auto" w:fill="FFFFFF"/>
        <w:spacing w:after="120"/>
        <w:rPr>
          <w:rFonts w:ascii="Garamond" w:eastAsia="Times New Roman" w:hAnsi="Garamond"/>
          <w:color w:val="222222"/>
        </w:rPr>
      </w:pPr>
      <w:r w:rsidRPr="00581A6A">
        <w:rPr>
          <w:rFonts w:ascii="Garamond" w:eastAsia="Times New Roman" w:hAnsi="Garamond"/>
          <w:color w:val="222222"/>
        </w:rPr>
        <w:t>Read the case study on RHIS Governance in Malawi (15 min</w:t>
      </w:r>
      <w:r w:rsidR="00042930" w:rsidRPr="00581A6A">
        <w:rPr>
          <w:rFonts w:ascii="Garamond" w:eastAsia="Times New Roman" w:hAnsi="Garamond"/>
          <w:color w:val="222222"/>
        </w:rPr>
        <w:t>utes</w:t>
      </w:r>
      <w:r w:rsidRPr="00581A6A">
        <w:rPr>
          <w:rFonts w:ascii="Garamond" w:eastAsia="Times New Roman" w:hAnsi="Garamond"/>
          <w:color w:val="222222"/>
        </w:rPr>
        <w:t>)</w:t>
      </w:r>
      <w:r w:rsidR="007E3055" w:rsidRPr="00581A6A">
        <w:rPr>
          <w:rFonts w:ascii="Garamond" w:eastAsia="Times New Roman" w:hAnsi="Garamond"/>
          <w:color w:val="222222"/>
        </w:rPr>
        <w:t>.</w:t>
      </w:r>
    </w:p>
    <w:p w14:paraId="3F514494" w14:textId="33091A1C" w:rsidR="00242025" w:rsidRPr="00581A6A" w:rsidRDefault="00242025" w:rsidP="00581A6A">
      <w:pPr>
        <w:pStyle w:val="ListParagraph"/>
        <w:widowControl/>
        <w:numPr>
          <w:ilvl w:val="0"/>
          <w:numId w:val="5"/>
        </w:numPr>
        <w:shd w:val="clear" w:color="auto" w:fill="FFFFFF"/>
        <w:spacing w:after="120"/>
        <w:rPr>
          <w:rFonts w:ascii="Garamond" w:eastAsia="Times New Roman" w:hAnsi="Garamond"/>
          <w:color w:val="222222"/>
        </w:rPr>
      </w:pPr>
      <w:r w:rsidRPr="00581A6A">
        <w:rPr>
          <w:rFonts w:ascii="Garamond" w:eastAsia="Times New Roman" w:hAnsi="Garamond"/>
          <w:color w:val="222222"/>
        </w:rPr>
        <w:t>Be prepared to answer the following questions:</w:t>
      </w:r>
    </w:p>
    <w:p w14:paraId="2BC0AC05" w14:textId="77777777" w:rsidR="00177DF0" w:rsidRPr="00581A6A" w:rsidRDefault="00242025" w:rsidP="00581A6A">
      <w:pPr>
        <w:pStyle w:val="ListParagraph"/>
        <w:numPr>
          <w:ilvl w:val="1"/>
          <w:numId w:val="6"/>
        </w:numPr>
        <w:shd w:val="clear" w:color="auto" w:fill="FFFFFF"/>
        <w:spacing w:after="120" w:line="300" w:lineRule="exact"/>
        <w:ind w:right="187"/>
        <w:rPr>
          <w:rFonts w:ascii="Garamond" w:eastAsia="Times New Roman" w:hAnsi="Garamond"/>
          <w:color w:val="222222"/>
        </w:rPr>
      </w:pPr>
      <w:r w:rsidRPr="00581A6A">
        <w:rPr>
          <w:rFonts w:ascii="Garamond" w:eastAsia="Times New Roman" w:hAnsi="Garamond"/>
          <w:color w:val="222222"/>
        </w:rPr>
        <w:t>What governance structure was established and for what purposes?</w:t>
      </w:r>
    </w:p>
    <w:p w14:paraId="199415E2" w14:textId="77777777" w:rsidR="00177DF0" w:rsidRPr="00581A6A" w:rsidRDefault="00242025" w:rsidP="00581A6A">
      <w:pPr>
        <w:pStyle w:val="ListParagraph"/>
        <w:numPr>
          <w:ilvl w:val="1"/>
          <w:numId w:val="6"/>
        </w:numPr>
        <w:shd w:val="clear" w:color="auto" w:fill="FFFFFF"/>
        <w:spacing w:after="120" w:line="300" w:lineRule="exact"/>
        <w:ind w:right="187"/>
        <w:rPr>
          <w:rFonts w:ascii="Garamond" w:eastAsia="Times New Roman" w:hAnsi="Garamond"/>
          <w:color w:val="222222"/>
        </w:rPr>
      </w:pPr>
      <w:r w:rsidRPr="00581A6A">
        <w:rPr>
          <w:rFonts w:ascii="Garamond" w:eastAsia="Times New Roman" w:hAnsi="Garamond"/>
          <w:color w:val="222222"/>
        </w:rPr>
        <w:t>What are the strengths of such an arrangement?</w:t>
      </w:r>
    </w:p>
    <w:p w14:paraId="61183F50" w14:textId="523CBE6B" w:rsidR="00177DF0" w:rsidRPr="00581A6A" w:rsidRDefault="00242025" w:rsidP="00581A6A">
      <w:pPr>
        <w:pStyle w:val="ListParagraph"/>
        <w:numPr>
          <w:ilvl w:val="1"/>
          <w:numId w:val="6"/>
        </w:numPr>
        <w:shd w:val="clear" w:color="auto" w:fill="FFFFFF"/>
        <w:spacing w:after="120" w:line="300" w:lineRule="exact"/>
        <w:ind w:right="187"/>
        <w:rPr>
          <w:rFonts w:ascii="Garamond" w:eastAsia="Times New Roman" w:hAnsi="Garamond"/>
          <w:color w:val="222222"/>
        </w:rPr>
      </w:pPr>
      <w:r w:rsidRPr="00581A6A">
        <w:rPr>
          <w:rFonts w:ascii="Garamond" w:eastAsia="Times New Roman" w:hAnsi="Garamond"/>
          <w:color w:val="222222"/>
        </w:rPr>
        <w:t xml:space="preserve">What are the challenges of this governance structure and how </w:t>
      </w:r>
      <w:r w:rsidR="00042930" w:rsidRPr="00581A6A">
        <w:rPr>
          <w:rFonts w:ascii="Garamond" w:eastAsia="Times New Roman" w:hAnsi="Garamond"/>
          <w:color w:val="222222"/>
        </w:rPr>
        <w:t xml:space="preserve">can they be </w:t>
      </w:r>
      <w:r w:rsidRPr="00581A6A">
        <w:rPr>
          <w:rFonts w:ascii="Garamond" w:eastAsia="Times New Roman" w:hAnsi="Garamond"/>
          <w:color w:val="222222"/>
        </w:rPr>
        <w:t>mitigate</w:t>
      </w:r>
      <w:r w:rsidR="00042930" w:rsidRPr="00581A6A">
        <w:rPr>
          <w:rFonts w:ascii="Garamond" w:eastAsia="Times New Roman" w:hAnsi="Garamond"/>
          <w:color w:val="222222"/>
        </w:rPr>
        <w:t>d</w:t>
      </w:r>
      <w:r w:rsidRPr="00581A6A">
        <w:rPr>
          <w:rFonts w:ascii="Garamond" w:eastAsia="Times New Roman" w:hAnsi="Garamond"/>
          <w:color w:val="222222"/>
        </w:rPr>
        <w:t>?</w:t>
      </w:r>
    </w:p>
    <w:p w14:paraId="7A41D373" w14:textId="77777777" w:rsidR="00242025" w:rsidRPr="00581A6A" w:rsidRDefault="00242025" w:rsidP="00581A6A">
      <w:pPr>
        <w:pStyle w:val="ListParagraph"/>
        <w:numPr>
          <w:ilvl w:val="1"/>
          <w:numId w:val="6"/>
        </w:numPr>
        <w:shd w:val="clear" w:color="auto" w:fill="FFFFFF"/>
        <w:spacing w:after="120" w:line="300" w:lineRule="exact"/>
        <w:ind w:right="187"/>
        <w:rPr>
          <w:rFonts w:ascii="Garamond" w:eastAsia="Times New Roman" w:hAnsi="Garamond"/>
          <w:color w:val="222222"/>
        </w:rPr>
      </w:pPr>
      <w:r w:rsidRPr="00581A6A">
        <w:rPr>
          <w:rFonts w:ascii="Garamond" w:eastAsia="Times New Roman" w:hAnsi="Garamond"/>
          <w:color w:val="222222"/>
        </w:rPr>
        <w:t>What alternative arrangements can the participant</w:t>
      </w:r>
      <w:r w:rsidR="00042930" w:rsidRPr="00581A6A">
        <w:rPr>
          <w:rFonts w:ascii="Garamond" w:eastAsia="Times New Roman" w:hAnsi="Garamond"/>
          <w:color w:val="222222"/>
        </w:rPr>
        <w:t>s</w:t>
      </w:r>
      <w:r w:rsidRPr="00581A6A">
        <w:rPr>
          <w:rFonts w:ascii="Garamond" w:eastAsia="Times New Roman" w:hAnsi="Garamond"/>
          <w:color w:val="222222"/>
        </w:rPr>
        <w:t xml:space="preserve"> suggest in lieu of the governance structure presented?</w:t>
      </w:r>
    </w:p>
    <w:p w14:paraId="73D31B08" w14:textId="77777777" w:rsidR="00242025" w:rsidRPr="00581A6A" w:rsidRDefault="00242025" w:rsidP="00581A6A">
      <w:pPr>
        <w:pStyle w:val="BodyText"/>
        <w:spacing w:before="76" w:line="343" w:lineRule="auto"/>
        <w:ind w:right="184"/>
        <w:rPr>
          <w:color w:val="231F20"/>
          <w:sz w:val="20"/>
          <w:szCs w:val="20"/>
        </w:rPr>
      </w:pPr>
    </w:p>
    <w:p w14:paraId="7CAE5027" w14:textId="086402C6" w:rsidR="00177DF0" w:rsidRPr="00581A6A" w:rsidRDefault="00177DF0" w:rsidP="00581A6A">
      <w:pPr>
        <w:pStyle w:val="BodyText"/>
        <w:spacing w:before="76" w:line="343" w:lineRule="auto"/>
        <w:ind w:right="184"/>
        <w:rPr>
          <w:rFonts w:ascii="Century Gothic" w:hAnsi="Century Gothic"/>
          <w:b/>
          <w:color w:val="231F20"/>
          <w:sz w:val="24"/>
          <w:szCs w:val="24"/>
        </w:rPr>
      </w:pPr>
      <w:r w:rsidRPr="00581A6A">
        <w:rPr>
          <w:rFonts w:ascii="Century Gothic" w:hAnsi="Century Gothic"/>
          <w:b/>
          <w:color w:val="231F20"/>
          <w:sz w:val="24"/>
          <w:szCs w:val="24"/>
        </w:rPr>
        <w:t>Case Study: RHIS Governance in Malawi</w:t>
      </w:r>
    </w:p>
    <w:p w14:paraId="4645E2E7" w14:textId="77777777" w:rsidR="001247A6" w:rsidRPr="00581A6A" w:rsidRDefault="00D5604E" w:rsidP="00581A6A">
      <w:pPr>
        <w:pStyle w:val="BodyText"/>
        <w:spacing w:after="120" w:line="300" w:lineRule="exact"/>
        <w:ind w:right="187"/>
        <w:rPr>
          <w:rFonts w:ascii="Garamond" w:hAnsi="Garamond"/>
          <w:sz w:val="22"/>
          <w:szCs w:val="22"/>
        </w:rPr>
      </w:pPr>
      <w:r w:rsidRPr="00581A6A">
        <w:rPr>
          <w:rFonts w:ascii="Garamond" w:hAnsi="Garamond"/>
          <w:color w:val="231F20"/>
          <w:sz w:val="22"/>
          <w:szCs w:val="22"/>
        </w:rPr>
        <w:t xml:space="preserve">Any efforts undertaken to bridge existing data systems/streams, improve efficiency in collection and reporting, or implement measures to address critical data gaps should be couched in the political and regulatory framework. Alignment with </w:t>
      </w:r>
      <w:r w:rsidR="00042930" w:rsidRPr="00581A6A">
        <w:rPr>
          <w:rFonts w:ascii="Garamond" w:hAnsi="Garamond"/>
          <w:color w:val="231F20"/>
          <w:sz w:val="22"/>
          <w:szCs w:val="22"/>
        </w:rPr>
        <w:t xml:space="preserve">the </w:t>
      </w:r>
      <w:r w:rsidRPr="00581A6A">
        <w:rPr>
          <w:rFonts w:ascii="Garamond" w:hAnsi="Garamond"/>
          <w:color w:val="231F20"/>
          <w:sz w:val="22"/>
          <w:szCs w:val="22"/>
        </w:rPr>
        <w:t>overarching strategic vision will improve coordination, increase sustainability, and maximize investment potential. Data structures and relevant polices are briefly described below.</w:t>
      </w:r>
    </w:p>
    <w:p w14:paraId="021E7FC7" w14:textId="77777777" w:rsidR="001247A6" w:rsidRPr="00581A6A" w:rsidRDefault="001247A6" w:rsidP="00581A6A">
      <w:pPr>
        <w:pStyle w:val="BodyText"/>
        <w:spacing w:before="1"/>
        <w:rPr>
          <w:sz w:val="20"/>
          <w:szCs w:val="20"/>
        </w:rPr>
      </w:pPr>
    </w:p>
    <w:p w14:paraId="6718B02F" w14:textId="7F61E782" w:rsidR="001247A6" w:rsidRPr="00581A6A" w:rsidRDefault="00D5604E" w:rsidP="00581A6A">
      <w:pPr>
        <w:pStyle w:val="BodyText"/>
        <w:spacing w:line="340" w:lineRule="auto"/>
        <w:ind w:right="184"/>
        <w:rPr>
          <w:rFonts w:ascii="Garamond" w:hAnsi="Garamond"/>
          <w:sz w:val="22"/>
          <w:szCs w:val="22"/>
        </w:rPr>
      </w:pPr>
      <w:r w:rsidRPr="00581A6A">
        <w:rPr>
          <w:rFonts w:ascii="Garamond" w:hAnsi="Garamond"/>
          <w:color w:val="231F20"/>
          <w:sz w:val="22"/>
          <w:szCs w:val="22"/>
        </w:rPr>
        <w:t xml:space="preserve">According to the </w:t>
      </w:r>
      <w:r w:rsidR="00042930" w:rsidRPr="00581A6A">
        <w:rPr>
          <w:rFonts w:ascii="Garamond" w:hAnsi="Garamond"/>
          <w:color w:val="231F20"/>
          <w:sz w:val="22"/>
          <w:szCs w:val="22"/>
        </w:rPr>
        <w:t>“</w:t>
      </w:r>
      <w:r w:rsidRPr="00581A6A">
        <w:rPr>
          <w:rFonts w:ascii="Garamond" w:hAnsi="Garamond"/>
          <w:color w:val="2364B0"/>
          <w:sz w:val="22"/>
          <w:szCs w:val="22"/>
          <w:u w:val="single" w:color="2364B0"/>
        </w:rPr>
        <w:t>State of M&amp;E in Malawi</w:t>
      </w:r>
      <w:r w:rsidR="00042930" w:rsidRPr="00581A6A">
        <w:rPr>
          <w:rFonts w:ascii="Garamond" w:hAnsi="Garamond"/>
          <w:color w:val="2364B0"/>
          <w:sz w:val="22"/>
          <w:szCs w:val="22"/>
          <w:u w:val="single" w:color="2364B0"/>
        </w:rPr>
        <w:t>”</w:t>
      </w:r>
      <w:r w:rsidRPr="00581A6A">
        <w:rPr>
          <w:rFonts w:ascii="Garamond" w:hAnsi="Garamond"/>
          <w:color w:val="2364B0"/>
          <w:sz w:val="22"/>
          <w:szCs w:val="22"/>
          <w:u w:val="single" w:color="2364B0"/>
        </w:rPr>
        <w:t xml:space="preserve"> </w:t>
      </w:r>
      <w:r w:rsidRPr="00581A6A">
        <w:rPr>
          <w:rFonts w:ascii="Garamond" w:hAnsi="Garamond"/>
          <w:color w:val="231F20"/>
          <w:sz w:val="22"/>
          <w:szCs w:val="22"/>
        </w:rPr>
        <w:t>report</w:t>
      </w:r>
      <w:r w:rsidR="00042930" w:rsidRPr="00581A6A">
        <w:rPr>
          <w:rFonts w:ascii="Garamond" w:hAnsi="Garamond"/>
          <w:color w:val="231F20"/>
          <w:sz w:val="22"/>
          <w:szCs w:val="22"/>
        </w:rPr>
        <w:t>,</w:t>
      </w:r>
      <w:r w:rsidRPr="00581A6A">
        <w:rPr>
          <w:rFonts w:ascii="Garamond" w:hAnsi="Garamond"/>
          <w:color w:val="231F20"/>
          <w:sz w:val="22"/>
          <w:szCs w:val="22"/>
        </w:rPr>
        <w:t xml:space="preserve"> published in 2014, the Ministry of Finance, Economic Planning and Development (</w:t>
      </w:r>
      <w:proofErr w:type="spellStart"/>
      <w:r w:rsidRPr="00581A6A">
        <w:rPr>
          <w:rFonts w:ascii="Garamond" w:hAnsi="Garamond"/>
          <w:color w:val="231F20"/>
          <w:sz w:val="22"/>
          <w:szCs w:val="22"/>
        </w:rPr>
        <w:t>MoFEPD</w:t>
      </w:r>
      <w:proofErr w:type="spellEnd"/>
      <w:r w:rsidRPr="00581A6A">
        <w:rPr>
          <w:rFonts w:ascii="Garamond" w:hAnsi="Garamond"/>
          <w:color w:val="231F20"/>
          <w:sz w:val="22"/>
          <w:szCs w:val="22"/>
        </w:rPr>
        <w:t xml:space="preserve">), via the M&amp;E Division, is the custodian of the National M&amp;E Master Plan and sets policies and procedures that govern the development of data systems. Other key actors </w:t>
      </w:r>
      <w:r w:rsidR="00042930" w:rsidRPr="00581A6A">
        <w:rPr>
          <w:rFonts w:ascii="Garamond" w:hAnsi="Garamond"/>
          <w:color w:val="231F20"/>
          <w:sz w:val="22"/>
          <w:szCs w:val="22"/>
        </w:rPr>
        <w:t>are</w:t>
      </w:r>
      <w:r w:rsidRPr="00581A6A">
        <w:rPr>
          <w:rFonts w:ascii="Garamond" w:hAnsi="Garamond"/>
          <w:color w:val="231F20"/>
          <w:sz w:val="22"/>
          <w:szCs w:val="22"/>
        </w:rPr>
        <w:t>:</w:t>
      </w:r>
    </w:p>
    <w:p w14:paraId="392BF270" w14:textId="69FB61DB" w:rsidR="001247A6" w:rsidRPr="00581A6A" w:rsidRDefault="00D5604E" w:rsidP="00581A6A">
      <w:pPr>
        <w:pStyle w:val="ListParagraph"/>
        <w:numPr>
          <w:ilvl w:val="0"/>
          <w:numId w:val="8"/>
        </w:numPr>
        <w:spacing w:before="180" w:line="312" w:lineRule="auto"/>
        <w:ind w:right="183"/>
        <w:rPr>
          <w:rFonts w:ascii="Garamond" w:hAnsi="Garamond"/>
        </w:rPr>
      </w:pPr>
      <w:r w:rsidRPr="00581A6A">
        <w:rPr>
          <w:rFonts w:ascii="Garamond" w:hAnsi="Garamond"/>
          <w:color w:val="231F20"/>
        </w:rPr>
        <w:t xml:space="preserve">The </w:t>
      </w:r>
      <w:r w:rsidRPr="00581A6A">
        <w:rPr>
          <w:rFonts w:ascii="Garamond" w:hAnsi="Garamond"/>
          <w:b/>
          <w:color w:val="231F20"/>
        </w:rPr>
        <w:t>Office of President and Cabinet (OPC)</w:t>
      </w:r>
      <w:r w:rsidRPr="00581A6A">
        <w:rPr>
          <w:rFonts w:ascii="Garamond" w:hAnsi="Garamond"/>
          <w:color w:val="231F20"/>
        </w:rPr>
        <w:t>, which enforces performance of public sector agencies and their M&amp;E plans</w:t>
      </w:r>
    </w:p>
    <w:p w14:paraId="66008ABA" w14:textId="7823E34F" w:rsidR="001247A6" w:rsidRPr="00581A6A" w:rsidRDefault="00D5604E" w:rsidP="00581A6A">
      <w:pPr>
        <w:pStyle w:val="ListParagraph"/>
        <w:numPr>
          <w:ilvl w:val="0"/>
          <w:numId w:val="8"/>
        </w:numPr>
        <w:spacing w:line="307" w:lineRule="auto"/>
        <w:ind w:right="185"/>
        <w:rPr>
          <w:rFonts w:ascii="Garamond" w:hAnsi="Garamond"/>
        </w:rPr>
      </w:pPr>
      <w:r w:rsidRPr="00581A6A">
        <w:rPr>
          <w:rFonts w:ascii="Garamond" w:hAnsi="Garamond"/>
          <w:color w:val="231F20"/>
        </w:rPr>
        <w:t xml:space="preserve">The </w:t>
      </w:r>
      <w:r w:rsidRPr="00581A6A">
        <w:rPr>
          <w:rFonts w:ascii="Garamond" w:hAnsi="Garamond"/>
          <w:b/>
          <w:color w:val="231F20"/>
        </w:rPr>
        <w:t>National Statistics Office (NSO)</w:t>
      </w:r>
      <w:r w:rsidRPr="00581A6A">
        <w:rPr>
          <w:rFonts w:ascii="Garamond" w:hAnsi="Garamond"/>
          <w:color w:val="231F20"/>
        </w:rPr>
        <w:t>, which assists sector ministries create and operationalize statistical registers and is responsible for executing surveys</w:t>
      </w:r>
    </w:p>
    <w:p w14:paraId="3DD6EBD2" w14:textId="13D43F38" w:rsidR="001247A6" w:rsidRPr="00581A6A" w:rsidRDefault="00D5604E" w:rsidP="00581A6A">
      <w:pPr>
        <w:pStyle w:val="ListParagraph"/>
        <w:numPr>
          <w:ilvl w:val="0"/>
          <w:numId w:val="8"/>
        </w:numPr>
        <w:spacing w:before="3" w:line="312" w:lineRule="auto"/>
        <w:rPr>
          <w:rFonts w:ascii="Garamond" w:hAnsi="Garamond"/>
        </w:rPr>
      </w:pPr>
      <w:r w:rsidRPr="00581A6A">
        <w:rPr>
          <w:rFonts w:ascii="Garamond" w:hAnsi="Garamond"/>
          <w:color w:val="231F20"/>
        </w:rPr>
        <w:t xml:space="preserve">The </w:t>
      </w:r>
      <w:r w:rsidRPr="00581A6A">
        <w:rPr>
          <w:rFonts w:ascii="Garamond" w:hAnsi="Garamond"/>
          <w:b/>
          <w:color w:val="231F20"/>
        </w:rPr>
        <w:t xml:space="preserve">Ministry of </w:t>
      </w:r>
      <w:r w:rsidR="00042930" w:rsidRPr="00581A6A">
        <w:rPr>
          <w:rFonts w:ascii="Garamond" w:hAnsi="Garamond"/>
          <w:b/>
          <w:color w:val="231F20"/>
        </w:rPr>
        <w:t xml:space="preserve"> </w:t>
      </w:r>
      <w:r w:rsidRPr="00581A6A">
        <w:rPr>
          <w:rFonts w:ascii="Garamond" w:hAnsi="Garamond"/>
          <w:b/>
          <w:color w:val="231F20"/>
        </w:rPr>
        <w:t xml:space="preserve">Local Government and Rural </w:t>
      </w:r>
      <w:r w:rsidR="00042930" w:rsidRPr="00581A6A">
        <w:rPr>
          <w:rFonts w:ascii="Garamond" w:hAnsi="Garamond"/>
          <w:b/>
          <w:color w:val="231F20"/>
        </w:rPr>
        <w:t xml:space="preserve"> </w:t>
      </w:r>
      <w:r w:rsidRPr="00581A6A">
        <w:rPr>
          <w:rFonts w:ascii="Garamond" w:hAnsi="Garamond"/>
          <w:b/>
          <w:color w:val="231F20"/>
        </w:rPr>
        <w:t xml:space="preserve">Development </w:t>
      </w:r>
      <w:r w:rsidR="00042930" w:rsidRPr="00581A6A">
        <w:rPr>
          <w:rFonts w:ascii="Garamond" w:hAnsi="Garamond"/>
          <w:b/>
          <w:color w:val="231F20"/>
        </w:rPr>
        <w:t xml:space="preserve"> </w:t>
      </w:r>
      <w:r w:rsidRPr="00581A6A">
        <w:rPr>
          <w:rFonts w:ascii="Garamond" w:hAnsi="Garamond"/>
          <w:b/>
          <w:color w:val="231F20"/>
        </w:rPr>
        <w:t>(MLGRD)</w:t>
      </w:r>
      <w:r w:rsidRPr="00581A6A">
        <w:rPr>
          <w:rFonts w:ascii="Garamond" w:hAnsi="Garamond"/>
          <w:color w:val="231F20"/>
        </w:rPr>
        <w:t>, which is tasked with building M&amp;E capacity of local councils</w:t>
      </w:r>
    </w:p>
    <w:p w14:paraId="7921A07E" w14:textId="508A0203" w:rsidR="001247A6" w:rsidRPr="00581A6A" w:rsidRDefault="00D5604E" w:rsidP="00581A6A">
      <w:pPr>
        <w:pStyle w:val="ListParagraph"/>
        <w:numPr>
          <w:ilvl w:val="0"/>
          <w:numId w:val="8"/>
        </w:numPr>
        <w:spacing w:line="307" w:lineRule="auto"/>
        <w:rPr>
          <w:rFonts w:ascii="Garamond" w:hAnsi="Garamond"/>
        </w:rPr>
      </w:pPr>
      <w:r w:rsidRPr="00581A6A">
        <w:rPr>
          <w:rFonts w:ascii="Garamond" w:hAnsi="Garamond"/>
          <w:color w:val="231F20"/>
        </w:rPr>
        <w:t xml:space="preserve">The </w:t>
      </w:r>
      <w:r w:rsidRPr="00581A6A">
        <w:rPr>
          <w:rFonts w:ascii="Garamond" w:hAnsi="Garamond"/>
          <w:b/>
          <w:color w:val="231F20"/>
        </w:rPr>
        <w:t>Department of Human Resources and Development</w:t>
      </w:r>
      <w:r w:rsidRPr="00581A6A">
        <w:rPr>
          <w:rFonts w:ascii="Garamond" w:hAnsi="Garamond"/>
          <w:color w:val="231F20"/>
        </w:rPr>
        <w:t>, which provides staffing for M&amp;E and planning positions</w:t>
      </w:r>
    </w:p>
    <w:p w14:paraId="1A16ED60" w14:textId="0487452C" w:rsidR="001247A6" w:rsidRPr="00581A6A" w:rsidRDefault="00D5604E" w:rsidP="00581A6A">
      <w:pPr>
        <w:pStyle w:val="ListParagraph"/>
        <w:numPr>
          <w:ilvl w:val="0"/>
          <w:numId w:val="8"/>
        </w:numPr>
        <w:spacing w:before="3" w:line="312" w:lineRule="auto"/>
        <w:ind w:right="182"/>
        <w:rPr>
          <w:rFonts w:ascii="Garamond" w:hAnsi="Garamond"/>
        </w:rPr>
      </w:pPr>
      <w:r w:rsidRPr="00581A6A">
        <w:rPr>
          <w:rFonts w:ascii="Garamond" w:hAnsi="Garamond"/>
          <w:color w:val="231F20"/>
        </w:rPr>
        <w:t xml:space="preserve">The </w:t>
      </w:r>
      <w:r w:rsidRPr="00581A6A">
        <w:rPr>
          <w:rFonts w:ascii="Garamond" w:hAnsi="Garamond"/>
          <w:b/>
          <w:color w:val="231F20"/>
        </w:rPr>
        <w:t>District Councils (DC)</w:t>
      </w:r>
      <w:r w:rsidRPr="00581A6A">
        <w:rPr>
          <w:rFonts w:ascii="Garamond" w:hAnsi="Garamond"/>
          <w:color w:val="231F20"/>
        </w:rPr>
        <w:t>, who prepare and implement district M&amp;E work plans and manage district data banks</w:t>
      </w:r>
    </w:p>
    <w:p w14:paraId="203F6DE0" w14:textId="066008EC" w:rsidR="00042930" w:rsidRPr="00581A6A" w:rsidRDefault="00D5604E" w:rsidP="00581A6A">
      <w:pPr>
        <w:pStyle w:val="ListParagraph"/>
        <w:numPr>
          <w:ilvl w:val="0"/>
          <w:numId w:val="8"/>
        </w:numPr>
        <w:spacing w:after="240" w:line="302" w:lineRule="auto"/>
        <w:ind w:right="186"/>
        <w:rPr>
          <w:rFonts w:ascii="Garamond" w:hAnsi="Garamond"/>
        </w:rPr>
      </w:pPr>
      <w:r w:rsidRPr="00581A6A">
        <w:rPr>
          <w:rFonts w:ascii="Garamond" w:hAnsi="Garamond"/>
          <w:b/>
          <w:color w:val="231F20"/>
        </w:rPr>
        <w:t xml:space="preserve">Sector </w:t>
      </w:r>
      <w:r w:rsidR="00042930" w:rsidRPr="00581A6A">
        <w:rPr>
          <w:rFonts w:ascii="Garamond" w:hAnsi="Garamond"/>
          <w:b/>
          <w:color w:val="231F20"/>
        </w:rPr>
        <w:t>ministries</w:t>
      </w:r>
      <w:r w:rsidRPr="00581A6A">
        <w:rPr>
          <w:rFonts w:ascii="Garamond" w:hAnsi="Garamond"/>
          <w:b/>
          <w:color w:val="231F20"/>
        </w:rPr>
        <w:t>/public sector agencies</w:t>
      </w:r>
      <w:r w:rsidRPr="00581A6A">
        <w:rPr>
          <w:rFonts w:ascii="Garamond" w:hAnsi="Garamond"/>
          <w:color w:val="231F20"/>
        </w:rPr>
        <w:t>, which act as secretariat to technical working groups, prepare and operationalize sector M&amp;E frameworks and work plans, and collect data based on sector priorities</w:t>
      </w:r>
    </w:p>
    <w:p w14:paraId="3C66E711" w14:textId="444ADF16" w:rsidR="001247A6" w:rsidRPr="00581A6A" w:rsidRDefault="00D5604E" w:rsidP="00581A6A">
      <w:pPr>
        <w:pStyle w:val="BodyText"/>
        <w:spacing w:after="240" w:line="343" w:lineRule="auto"/>
        <w:ind w:right="181"/>
        <w:rPr>
          <w:rFonts w:ascii="Garamond" w:hAnsi="Garamond"/>
          <w:sz w:val="22"/>
          <w:szCs w:val="22"/>
        </w:rPr>
      </w:pPr>
      <w:r w:rsidRPr="00581A6A">
        <w:rPr>
          <w:rFonts w:ascii="Garamond" w:hAnsi="Garamond"/>
          <w:color w:val="231F20"/>
          <w:sz w:val="22"/>
          <w:szCs w:val="22"/>
        </w:rPr>
        <w:t xml:space="preserve">Within this regulatory framework, the </w:t>
      </w:r>
      <w:r w:rsidR="00042930" w:rsidRPr="00581A6A">
        <w:rPr>
          <w:rFonts w:ascii="Garamond" w:hAnsi="Garamond"/>
          <w:color w:val="231F20"/>
          <w:sz w:val="22"/>
          <w:szCs w:val="22"/>
        </w:rPr>
        <w:t xml:space="preserve">Ministry of Health </w:t>
      </w:r>
      <w:r w:rsidRPr="00581A6A">
        <w:rPr>
          <w:rFonts w:ascii="Garamond" w:hAnsi="Garamond"/>
          <w:color w:val="231F20"/>
          <w:sz w:val="22"/>
          <w:szCs w:val="22"/>
        </w:rPr>
        <w:t xml:space="preserve">in Malawi has developed a number of internal policies and guidelines for M&amp;E systems, the most recent and relevant to this analysis being </w:t>
      </w:r>
      <w:r w:rsidRPr="00581A6A">
        <w:rPr>
          <w:rFonts w:ascii="Garamond" w:hAnsi="Garamond"/>
          <w:color w:val="231F20"/>
          <w:sz w:val="22"/>
          <w:szCs w:val="22"/>
        </w:rPr>
        <w:lastRenderedPageBreak/>
        <w:t xml:space="preserve">the </w:t>
      </w:r>
      <w:r w:rsidRPr="00581A6A">
        <w:rPr>
          <w:rFonts w:ascii="Garamond" w:hAnsi="Garamond"/>
          <w:color w:val="2364B0"/>
          <w:sz w:val="22"/>
          <w:szCs w:val="22"/>
          <w:u w:val="single" w:color="2364B0"/>
        </w:rPr>
        <w:t>Malawi National Health Information Policy 2015</w:t>
      </w:r>
      <w:r w:rsidRPr="00581A6A">
        <w:rPr>
          <w:rFonts w:ascii="Garamond" w:hAnsi="Garamond"/>
          <w:color w:val="231F20"/>
          <w:sz w:val="22"/>
          <w:szCs w:val="22"/>
        </w:rPr>
        <w:t xml:space="preserve">. Key elements of the policy include a mandate that all program and partners that wish to collect health data will utilize a central data repository (HMIS) and the appointment of the Central Monitoring and Evaluation Division (CMED) as coordinator for data collection, consolidation, analysis, and dissemination. The policy also calls for </w:t>
      </w:r>
      <w:r w:rsidR="00202741" w:rsidRPr="00581A6A">
        <w:rPr>
          <w:rFonts w:ascii="Garamond" w:hAnsi="Garamond"/>
          <w:color w:val="231F20"/>
          <w:sz w:val="22"/>
          <w:szCs w:val="22"/>
        </w:rPr>
        <w:t xml:space="preserve">the </w:t>
      </w:r>
      <w:r w:rsidRPr="00581A6A">
        <w:rPr>
          <w:rFonts w:ascii="Garamond" w:hAnsi="Garamond"/>
          <w:color w:val="231F20"/>
          <w:sz w:val="22"/>
          <w:szCs w:val="22"/>
        </w:rPr>
        <w:t xml:space="preserve">establishment of a </w:t>
      </w:r>
      <w:r w:rsidR="00042930" w:rsidRPr="00581A6A">
        <w:rPr>
          <w:rFonts w:ascii="Garamond" w:hAnsi="Garamond"/>
          <w:color w:val="231F20"/>
          <w:sz w:val="22"/>
          <w:szCs w:val="22"/>
        </w:rPr>
        <w:t>health information technical working group</w:t>
      </w:r>
      <w:r w:rsidRPr="00581A6A">
        <w:rPr>
          <w:rFonts w:ascii="Garamond" w:hAnsi="Garamond"/>
          <w:color w:val="231F20"/>
          <w:sz w:val="22"/>
          <w:szCs w:val="22"/>
        </w:rPr>
        <w:t xml:space="preserve"> that will oversee the design, development, and operation of all health information systems.</w:t>
      </w:r>
    </w:p>
    <w:p w14:paraId="52BB55F6" w14:textId="713E55ED" w:rsidR="001247A6" w:rsidRPr="00581A6A" w:rsidRDefault="00581A6A" w:rsidP="00242025">
      <w:pPr>
        <w:pStyle w:val="BodyText"/>
        <w:spacing w:before="8"/>
        <w:rPr>
          <w:rFonts w:ascii="Century Gothic" w:hAnsi="Century Gothic"/>
          <w:sz w:val="24"/>
          <w:szCs w:val="20"/>
        </w:rPr>
      </w:pPr>
      <w:r w:rsidRPr="00581A6A">
        <w:rPr>
          <w:rFonts w:ascii="Century Gothic" w:hAnsi="Century Gothic"/>
          <w:sz w:val="24"/>
          <w:szCs w:val="20"/>
        </w:rPr>
        <w:t>National HMIS</w:t>
      </w:r>
    </w:p>
    <w:p w14:paraId="40D47530" w14:textId="68C71204" w:rsidR="00042930" w:rsidRPr="00581A6A" w:rsidRDefault="00D5604E" w:rsidP="00581A6A">
      <w:pPr>
        <w:pStyle w:val="BodyText"/>
        <w:spacing w:before="76" w:after="240" w:line="336" w:lineRule="auto"/>
        <w:ind w:right="181"/>
        <w:rPr>
          <w:rFonts w:ascii="Garamond" w:hAnsi="Garamond"/>
          <w:color w:val="231F20"/>
          <w:sz w:val="22"/>
          <w:szCs w:val="22"/>
        </w:rPr>
      </w:pPr>
      <w:r w:rsidRPr="00581A6A">
        <w:rPr>
          <w:rFonts w:ascii="Garamond" w:hAnsi="Garamond"/>
          <w:color w:val="231F20"/>
          <w:sz w:val="22"/>
          <w:szCs w:val="22"/>
        </w:rPr>
        <w:t xml:space="preserve">CMED has selected </w:t>
      </w:r>
      <w:r w:rsidRPr="00581A6A">
        <w:rPr>
          <w:rFonts w:ascii="Garamond" w:hAnsi="Garamond"/>
          <w:color w:val="2364B0"/>
          <w:sz w:val="22"/>
          <w:szCs w:val="22"/>
          <w:u w:val="single" w:color="2364B0"/>
        </w:rPr>
        <w:t>DHIS</w:t>
      </w:r>
      <w:r w:rsidR="00042930" w:rsidRPr="00581A6A">
        <w:rPr>
          <w:rFonts w:ascii="Garamond" w:hAnsi="Garamond"/>
          <w:color w:val="2364B0"/>
          <w:sz w:val="22"/>
          <w:szCs w:val="22"/>
          <w:u w:val="single" w:color="2364B0"/>
        </w:rPr>
        <w:t xml:space="preserve"> </w:t>
      </w:r>
      <w:r w:rsidRPr="00581A6A">
        <w:rPr>
          <w:rFonts w:ascii="Garamond" w:hAnsi="Garamond"/>
          <w:color w:val="2364B0"/>
          <w:sz w:val="22"/>
          <w:szCs w:val="22"/>
          <w:u w:val="single" w:color="2364B0"/>
        </w:rPr>
        <w:t>2</w:t>
      </w:r>
      <w:r w:rsidRPr="00581A6A">
        <w:rPr>
          <w:rFonts w:ascii="Garamond" w:hAnsi="Garamond"/>
          <w:color w:val="231F20"/>
          <w:sz w:val="22"/>
          <w:szCs w:val="22"/>
        </w:rPr>
        <w:t xml:space="preserve"> as the preferred platform for the national HMIS and is in the process of developing standard operating procedures for integration and interoperability of subsystems. In the role of coordinator, CMED has also been working with program area representatives for some time to integrate paper-based and parallel streams of data collection and reporting into the national HMIS. This includes the build-out of forms to accommodate first a core set of agreed</w:t>
      </w:r>
      <w:r w:rsidR="00042930" w:rsidRPr="00581A6A">
        <w:rPr>
          <w:rFonts w:ascii="Garamond" w:hAnsi="Garamond"/>
          <w:color w:val="231F20"/>
          <w:sz w:val="22"/>
          <w:szCs w:val="22"/>
        </w:rPr>
        <w:t>-</w:t>
      </w:r>
      <w:r w:rsidRPr="00581A6A">
        <w:rPr>
          <w:rFonts w:ascii="Garamond" w:hAnsi="Garamond"/>
          <w:color w:val="231F20"/>
          <w:sz w:val="22"/>
          <w:szCs w:val="22"/>
        </w:rPr>
        <w:t xml:space="preserve">upon core </w:t>
      </w:r>
      <w:proofErr w:type="gramStart"/>
      <w:r w:rsidR="00042930" w:rsidRPr="00581A6A">
        <w:rPr>
          <w:rFonts w:ascii="Garamond" w:hAnsi="Garamond"/>
          <w:color w:val="2364B0"/>
          <w:sz w:val="22"/>
          <w:szCs w:val="22"/>
          <w:u w:val="single" w:color="2364B0"/>
        </w:rPr>
        <w:t xml:space="preserve">national  </w:t>
      </w:r>
      <w:r w:rsidRPr="00581A6A">
        <w:rPr>
          <w:rFonts w:ascii="Garamond" w:hAnsi="Garamond"/>
          <w:color w:val="2364B0"/>
          <w:sz w:val="22"/>
          <w:szCs w:val="22"/>
          <w:u w:val="single" w:color="2364B0"/>
        </w:rPr>
        <w:t>indicators</w:t>
      </w:r>
      <w:proofErr w:type="gramEnd"/>
      <w:r w:rsidRPr="00581A6A">
        <w:rPr>
          <w:rFonts w:ascii="Garamond" w:hAnsi="Garamond"/>
          <w:color w:val="231F20"/>
          <w:sz w:val="22"/>
          <w:szCs w:val="22"/>
        </w:rPr>
        <w:t>, followed</w:t>
      </w:r>
      <w:r w:rsidR="00242025" w:rsidRPr="00581A6A">
        <w:rPr>
          <w:rFonts w:ascii="Garamond" w:hAnsi="Garamond"/>
          <w:color w:val="231F20"/>
          <w:sz w:val="22"/>
          <w:szCs w:val="22"/>
        </w:rPr>
        <w:t xml:space="preserve"> </w:t>
      </w:r>
      <w:r w:rsidRPr="00581A6A">
        <w:rPr>
          <w:rFonts w:ascii="Garamond" w:hAnsi="Garamond"/>
          <w:color w:val="231F20"/>
          <w:sz w:val="22"/>
          <w:szCs w:val="22"/>
        </w:rPr>
        <w:t xml:space="preserve"> by program-specific indicators as time and DHIS</w:t>
      </w:r>
      <w:r w:rsidR="00042930" w:rsidRPr="00581A6A">
        <w:rPr>
          <w:rFonts w:ascii="Garamond" w:hAnsi="Garamond"/>
          <w:color w:val="231F20"/>
          <w:sz w:val="22"/>
          <w:szCs w:val="22"/>
        </w:rPr>
        <w:t xml:space="preserve"> </w:t>
      </w:r>
      <w:r w:rsidRPr="00581A6A">
        <w:rPr>
          <w:rFonts w:ascii="Garamond" w:hAnsi="Garamond"/>
          <w:color w:val="231F20"/>
          <w:sz w:val="22"/>
          <w:szCs w:val="22"/>
        </w:rPr>
        <w:t>2 developer</w:t>
      </w:r>
      <w:r w:rsidR="00042930" w:rsidRPr="00581A6A">
        <w:rPr>
          <w:rFonts w:ascii="Garamond" w:hAnsi="Garamond"/>
          <w:color w:val="231F20"/>
          <w:sz w:val="22"/>
          <w:szCs w:val="22"/>
        </w:rPr>
        <w:t xml:space="preserve"> </w:t>
      </w:r>
      <w:r w:rsidRPr="00581A6A">
        <w:rPr>
          <w:rFonts w:ascii="Garamond" w:hAnsi="Garamond"/>
          <w:color w:val="231F20"/>
          <w:sz w:val="22"/>
          <w:szCs w:val="22"/>
        </w:rPr>
        <w:t xml:space="preserve"> resources allow.</w:t>
      </w:r>
    </w:p>
    <w:p w14:paraId="7BF69DBE" w14:textId="77777777" w:rsidR="00581A6A" w:rsidRDefault="00D5604E" w:rsidP="00581A6A">
      <w:pPr>
        <w:pStyle w:val="BodyText"/>
        <w:spacing w:before="54" w:after="240" w:line="343" w:lineRule="auto"/>
        <w:ind w:right="284"/>
        <w:rPr>
          <w:rFonts w:ascii="Garamond" w:hAnsi="Garamond"/>
          <w:color w:val="231F20"/>
          <w:sz w:val="22"/>
          <w:szCs w:val="22"/>
        </w:rPr>
      </w:pPr>
      <w:r w:rsidRPr="00581A6A">
        <w:rPr>
          <w:rFonts w:ascii="Garamond" w:hAnsi="Garamond"/>
          <w:color w:val="231F20"/>
          <w:sz w:val="22"/>
          <w:szCs w:val="22"/>
        </w:rPr>
        <w:t>Of note, donors often maintain their own policies and systems with respect to data collection and</w:t>
      </w:r>
      <w:r w:rsidR="00202741" w:rsidRPr="00581A6A">
        <w:rPr>
          <w:rFonts w:ascii="Garamond" w:hAnsi="Garamond"/>
          <w:color w:val="231F20"/>
          <w:sz w:val="22"/>
          <w:szCs w:val="22"/>
        </w:rPr>
        <w:t xml:space="preserve"> </w:t>
      </w:r>
      <w:r w:rsidRPr="00581A6A">
        <w:rPr>
          <w:rFonts w:ascii="Garamond" w:hAnsi="Garamond"/>
          <w:color w:val="231F20"/>
          <w:sz w:val="22"/>
          <w:szCs w:val="22"/>
        </w:rPr>
        <w:t>reporting, yet are still required to report on national and program-specific indicators. These additional, parallel streams often result in duplicative reporting to meet requirements for various authorities and funders.</w:t>
      </w:r>
    </w:p>
    <w:p w14:paraId="7F734813" w14:textId="3F0E836D" w:rsidR="00581A6A" w:rsidRPr="00581A6A" w:rsidRDefault="00581A6A" w:rsidP="00581A6A">
      <w:pPr>
        <w:pStyle w:val="BodyText"/>
        <w:spacing w:before="54" w:line="343" w:lineRule="auto"/>
        <w:ind w:right="284"/>
        <w:rPr>
          <w:rFonts w:ascii="Garamond" w:hAnsi="Garamond"/>
          <w:color w:val="231F20"/>
          <w:sz w:val="22"/>
          <w:szCs w:val="22"/>
        </w:rPr>
      </w:pPr>
      <w:r w:rsidRPr="00581A6A">
        <w:rPr>
          <w:rFonts w:ascii="Century Gothic" w:hAnsi="Century Gothic"/>
          <w:bCs/>
          <w:color w:val="231F20"/>
          <w:sz w:val="24"/>
          <w:szCs w:val="22"/>
        </w:rPr>
        <w:t>M&amp;E Task Force</w:t>
      </w:r>
    </w:p>
    <w:p w14:paraId="64543A91" w14:textId="2A64A363" w:rsidR="001247A6" w:rsidRPr="00581A6A" w:rsidRDefault="00D5604E" w:rsidP="00581A6A">
      <w:pPr>
        <w:pStyle w:val="BodyText"/>
        <w:spacing w:before="76" w:after="240" w:line="343" w:lineRule="auto"/>
        <w:ind w:right="284"/>
        <w:rPr>
          <w:rFonts w:ascii="Garamond" w:hAnsi="Garamond"/>
          <w:sz w:val="22"/>
          <w:szCs w:val="22"/>
        </w:rPr>
      </w:pPr>
      <w:r w:rsidRPr="00581A6A">
        <w:rPr>
          <w:rFonts w:ascii="Garamond" w:hAnsi="Garamond"/>
          <w:color w:val="231F20"/>
          <w:sz w:val="22"/>
          <w:szCs w:val="22"/>
        </w:rPr>
        <w:t>Following the M</w:t>
      </w:r>
      <w:r w:rsidR="00202741" w:rsidRPr="00581A6A">
        <w:rPr>
          <w:rFonts w:ascii="Garamond" w:hAnsi="Garamond"/>
          <w:color w:val="231F20"/>
          <w:sz w:val="22"/>
          <w:szCs w:val="22"/>
        </w:rPr>
        <w:t xml:space="preserve">easurement and Accountability for </w:t>
      </w:r>
      <w:r w:rsidR="0007436C" w:rsidRPr="00581A6A">
        <w:rPr>
          <w:rFonts w:ascii="Garamond" w:hAnsi="Garamond"/>
          <w:color w:val="231F20"/>
          <w:sz w:val="22"/>
          <w:szCs w:val="22"/>
        </w:rPr>
        <w:t xml:space="preserve">Results in </w:t>
      </w:r>
      <w:r w:rsidR="00202741" w:rsidRPr="00581A6A">
        <w:rPr>
          <w:rFonts w:ascii="Garamond" w:hAnsi="Garamond"/>
          <w:color w:val="231F20"/>
          <w:sz w:val="22"/>
          <w:szCs w:val="22"/>
        </w:rPr>
        <w:t>Health (M</w:t>
      </w:r>
      <w:r w:rsidRPr="00581A6A">
        <w:rPr>
          <w:rFonts w:ascii="Garamond" w:hAnsi="Garamond"/>
          <w:color w:val="231F20"/>
          <w:sz w:val="22"/>
          <w:szCs w:val="22"/>
        </w:rPr>
        <w:t>A4H</w:t>
      </w:r>
      <w:r w:rsidR="00202741" w:rsidRPr="00581A6A">
        <w:rPr>
          <w:rFonts w:ascii="Garamond" w:hAnsi="Garamond"/>
          <w:color w:val="231F20"/>
          <w:sz w:val="22"/>
          <w:szCs w:val="22"/>
        </w:rPr>
        <w:t>)</w:t>
      </w:r>
      <w:r w:rsidRPr="00581A6A">
        <w:rPr>
          <w:rFonts w:ascii="Garamond" w:hAnsi="Garamond"/>
          <w:color w:val="231F20"/>
          <w:sz w:val="22"/>
          <w:szCs w:val="22"/>
        </w:rPr>
        <w:t xml:space="preserve"> Summit and subsequent mission to assist Malawi outline plans to operationalize the Roadmap and</w:t>
      </w:r>
      <w:r w:rsidR="00242025" w:rsidRPr="00581A6A">
        <w:rPr>
          <w:rFonts w:ascii="Garamond" w:hAnsi="Garamond"/>
          <w:color w:val="231F20"/>
          <w:sz w:val="22"/>
          <w:szCs w:val="22"/>
        </w:rPr>
        <w:t xml:space="preserve"> </w:t>
      </w:r>
      <w:r w:rsidRPr="00581A6A">
        <w:rPr>
          <w:rFonts w:ascii="Garamond" w:hAnsi="Garamond"/>
          <w:color w:val="231F20"/>
          <w:sz w:val="22"/>
          <w:szCs w:val="22"/>
        </w:rPr>
        <w:t xml:space="preserve"> 5-Point </w:t>
      </w:r>
      <w:r w:rsidR="0007436C" w:rsidRPr="00581A6A">
        <w:rPr>
          <w:rFonts w:ascii="Garamond" w:hAnsi="Garamond"/>
          <w:color w:val="231F20"/>
          <w:sz w:val="22"/>
          <w:szCs w:val="22"/>
        </w:rPr>
        <w:t xml:space="preserve"> </w:t>
      </w:r>
      <w:r w:rsidRPr="00581A6A">
        <w:rPr>
          <w:rFonts w:ascii="Garamond" w:hAnsi="Garamond"/>
          <w:color w:val="231F20"/>
          <w:sz w:val="22"/>
          <w:szCs w:val="22"/>
        </w:rPr>
        <w:t xml:space="preserve">Call </w:t>
      </w:r>
      <w:r w:rsidR="0007436C" w:rsidRPr="00581A6A">
        <w:rPr>
          <w:rFonts w:ascii="Garamond" w:hAnsi="Garamond"/>
          <w:color w:val="231F20"/>
          <w:sz w:val="22"/>
          <w:szCs w:val="22"/>
        </w:rPr>
        <w:t xml:space="preserve"> </w:t>
      </w:r>
      <w:r w:rsidRPr="00581A6A">
        <w:rPr>
          <w:rFonts w:ascii="Garamond" w:hAnsi="Garamond"/>
          <w:color w:val="231F20"/>
          <w:sz w:val="22"/>
          <w:szCs w:val="22"/>
        </w:rPr>
        <w:t>to</w:t>
      </w:r>
      <w:r w:rsidR="0007436C" w:rsidRPr="00581A6A">
        <w:rPr>
          <w:rFonts w:ascii="Garamond" w:hAnsi="Garamond"/>
          <w:color w:val="231F20"/>
          <w:sz w:val="22"/>
          <w:szCs w:val="22"/>
        </w:rPr>
        <w:t xml:space="preserve"> </w:t>
      </w:r>
      <w:r w:rsidRPr="00581A6A">
        <w:rPr>
          <w:rFonts w:ascii="Garamond" w:hAnsi="Garamond"/>
          <w:color w:val="231F20"/>
          <w:sz w:val="22"/>
          <w:szCs w:val="22"/>
        </w:rPr>
        <w:t xml:space="preserve"> Action, </w:t>
      </w:r>
      <w:r w:rsidR="00242025" w:rsidRPr="00581A6A">
        <w:rPr>
          <w:rFonts w:ascii="Garamond" w:hAnsi="Garamond"/>
          <w:color w:val="231F20"/>
          <w:sz w:val="22"/>
          <w:szCs w:val="22"/>
        </w:rPr>
        <w:t xml:space="preserve"> </w:t>
      </w:r>
      <w:r w:rsidRPr="00581A6A">
        <w:rPr>
          <w:rFonts w:ascii="Garamond" w:hAnsi="Garamond"/>
          <w:color w:val="2364B0"/>
          <w:sz w:val="22"/>
          <w:szCs w:val="22"/>
          <w:u w:val="single" w:color="2364B0"/>
        </w:rPr>
        <w:t xml:space="preserve">terms </w:t>
      </w:r>
      <w:r w:rsidR="00242025" w:rsidRPr="00581A6A">
        <w:rPr>
          <w:rFonts w:ascii="Garamond" w:hAnsi="Garamond"/>
          <w:color w:val="2364B0"/>
          <w:sz w:val="22"/>
          <w:szCs w:val="22"/>
          <w:u w:val="single" w:color="2364B0"/>
        </w:rPr>
        <w:t xml:space="preserve"> </w:t>
      </w:r>
      <w:r w:rsidRPr="00581A6A">
        <w:rPr>
          <w:rFonts w:ascii="Garamond" w:hAnsi="Garamond"/>
          <w:color w:val="2364B0"/>
          <w:sz w:val="22"/>
          <w:szCs w:val="22"/>
          <w:u w:val="single" w:color="2364B0"/>
        </w:rPr>
        <w:t>of</w:t>
      </w:r>
      <w:r w:rsidR="00242025" w:rsidRPr="00581A6A">
        <w:rPr>
          <w:rFonts w:ascii="Garamond" w:hAnsi="Garamond"/>
          <w:color w:val="2364B0"/>
          <w:sz w:val="22"/>
          <w:szCs w:val="22"/>
          <w:u w:val="single" w:color="2364B0"/>
        </w:rPr>
        <w:t xml:space="preserve"> </w:t>
      </w:r>
      <w:r w:rsidRPr="00581A6A">
        <w:rPr>
          <w:rFonts w:ascii="Garamond" w:hAnsi="Garamond"/>
          <w:color w:val="2364B0"/>
          <w:sz w:val="22"/>
          <w:szCs w:val="22"/>
          <w:u w:val="single" w:color="2364B0"/>
        </w:rPr>
        <w:t xml:space="preserve"> reference</w:t>
      </w:r>
      <w:r w:rsidR="00242025" w:rsidRPr="00581A6A">
        <w:rPr>
          <w:rFonts w:ascii="Garamond" w:hAnsi="Garamond"/>
          <w:color w:val="2364B0"/>
          <w:sz w:val="22"/>
          <w:szCs w:val="22"/>
        </w:rPr>
        <w:t xml:space="preserve"> </w:t>
      </w:r>
      <w:r w:rsidR="00581A6A" w:rsidRPr="00581A6A">
        <w:rPr>
          <w:rFonts w:ascii="Garamond" w:hAnsi="Garamond"/>
          <w:color w:val="2364B0"/>
          <w:sz w:val="22"/>
          <w:szCs w:val="22"/>
        </w:rPr>
        <w:t xml:space="preserve"> </w:t>
      </w:r>
      <w:r w:rsidRPr="00581A6A">
        <w:rPr>
          <w:rFonts w:ascii="Garamond" w:hAnsi="Garamond"/>
          <w:color w:val="231F20"/>
          <w:sz w:val="22"/>
          <w:szCs w:val="22"/>
        </w:rPr>
        <w:t xml:space="preserve">for </w:t>
      </w:r>
      <w:r w:rsidR="00242025" w:rsidRPr="00581A6A">
        <w:rPr>
          <w:rFonts w:ascii="Garamond" w:hAnsi="Garamond"/>
          <w:color w:val="231F20"/>
          <w:sz w:val="22"/>
          <w:szCs w:val="22"/>
        </w:rPr>
        <w:t xml:space="preserve"> </w:t>
      </w:r>
      <w:r w:rsidRPr="00581A6A">
        <w:rPr>
          <w:rFonts w:ascii="Garamond" w:hAnsi="Garamond"/>
          <w:color w:val="231F20"/>
          <w:sz w:val="22"/>
          <w:szCs w:val="22"/>
        </w:rPr>
        <w:t xml:space="preserve">an M&amp;E </w:t>
      </w:r>
      <w:r w:rsidR="0007436C" w:rsidRPr="00581A6A">
        <w:rPr>
          <w:rFonts w:ascii="Garamond" w:hAnsi="Garamond"/>
          <w:color w:val="231F20"/>
          <w:sz w:val="22"/>
          <w:szCs w:val="22"/>
        </w:rPr>
        <w:t xml:space="preserve">task  force  </w:t>
      </w:r>
      <w:r w:rsidRPr="00581A6A">
        <w:rPr>
          <w:rFonts w:ascii="Garamond" w:hAnsi="Garamond"/>
          <w:color w:val="231F20"/>
          <w:sz w:val="22"/>
          <w:szCs w:val="22"/>
        </w:rPr>
        <w:t>were</w:t>
      </w:r>
      <w:r w:rsidR="00242025" w:rsidRPr="00581A6A">
        <w:rPr>
          <w:rFonts w:ascii="Garamond" w:hAnsi="Garamond"/>
          <w:color w:val="231F20"/>
          <w:sz w:val="22"/>
          <w:szCs w:val="22"/>
        </w:rPr>
        <w:t xml:space="preserve"> </w:t>
      </w:r>
      <w:r w:rsidRPr="00581A6A">
        <w:rPr>
          <w:rFonts w:ascii="Garamond" w:hAnsi="Garamond"/>
          <w:color w:val="231F20"/>
          <w:sz w:val="22"/>
          <w:szCs w:val="22"/>
        </w:rPr>
        <w:t xml:space="preserve"> proposed</w:t>
      </w:r>
      <w:r w:rsidR="00242025" w:rsidRPr="00581A6A">
        <w:rPr>
          <w:rFonts w:ascii="Garamond" w:hAnsi="Garamond"/>
          <w:color w:val="231F20"/>
          <w:sz w:val="22"/>
          <w:szCs w:val="22"/>
        </w:rPr>
        <w:t xml:space="preserve"> </w:t>
      </w:r>
      <w:r w:rsidRPr="00581A6A">
        <w:rPr>
          <w:rFonts w:ascii="Garamond" w:hAnsi="Garamond"/>
          <w:color w:val="231F20"/>
          <w:sz w:val="22"/>
          <w:szCs w:val="22"/>
        </w:rPr>
        <w:t xml:space="preserve"> and</w:t>
      </w:r>
      <w:r w:rsidR="00242025" w:rsidRPr="00581A6A">
        <w:rPr>
          <w:rFonts w:ascii="Garamond" w:hAnsi="Garamond"/>
          <w:color w:val="231F20"/>
          <w:sz w:val="22"/>
          <w:szCs w:val="22"/>
        </w:rPr>
        <w:t xml:space="preserve"> </w:t>
      </w:r>
      <w:r w:rsidRPr="00581A6A">
        <w:rPr>
          <w:rFonts w:ascii="Garamond" w:hAnsi="Garamond"/>
          <w:color w:val="231F20"/>
          <w:sz w:val="22"/>
          <w:szCs w:val="22"/>
        </w:rPr>
        <w:t xml:space="preserve"> approved</w:t>
      </w:r>
      <w:r w:rsidR="00242025" w:rsidRPr="00581A6A">
        <w:rPr>
          <w:rFonts w:ascii="Garamond" w:hAnsi="Garamond"/>
          <w:color w:val="231F20"/>
          <w:sz w:val="22"/>
          <w:szCs w:val="22"/>
        </w:rPr>
        <w:t xml:space="preserve"> </w:t>
      </w:r>
      <w:r w:rsidRPr="00581A6A">
        <w:rPr>
          <w:rFonts w:ascii="Garamond" w:hAnsi="Garamond"/>
          <w:color w:val="231F20"/>
          <w:sz w:val="22"/>
          <w:szCs w:val="22"/>
        </w:rPr>
        <w:t xml:space="preserve"> by</w:t>
      </w:r>
      <w:r w:rsidR="00242025" w:rsidRPr="00581A6A">
        <w:rPr>
          <w:rFonts w:ascii="Garamond" w:hAnsi="Garamond"/>
          <w:color w:val="231F20"/>
          <w:sz w:val="22"/>
          <w:szCs w:val="22"/>
        </w:rPr>
        <w:t xml:space="preserve"> </w:t>
      </w:r>
      <w:r w:rsidRPr="00581A6A">
        <w:rPr>
          <w:rFonts w:ascii="Garamond" w:hAnsi="Garamond"/>
          <w:color w:val="231F20"/>
          <w:sz w:val="22"/>
          <w:szCs w:val="22"/>
        </w:rPr>
        <w:t xml:space="preserve"> the</w:t>
      </w:r>
      <w:r w:rsidR="00242025" w:rsidRPr="00581A6A">
        <w:rPr>
          <w:rFonts w:ascii="Garamond" w:hAnsi="Garamond"/>
          <w:color w:val="231F20"/>
          <w:sz w:val="22"/>
          <w:szCs w:val="22"/>
        </w:rPr>
        <w:t xml:space="preserve"> </w:t>
      </w:r>
      <w:r w:rsidRPr="00581A6A">
        <w:rPr>
          <w:rFonts w:ascii="Garamond" w:hAnsi="Garamond"/>
          <w:color w:val="231F20"/>
          <w:sz w:val="22"/>
          <w:szCs w:val="22"/>
        </w:rPr>
        <w:t xml:space="preserve"> Secretary for Health. The </w:t>
      </w:r>
      <w:r w:rsidR="0007436C" w:rsidRPr="00581A6A">
        <w:rPr>
          <w:rFonts w:ascii="Garamond" w:hAnsi="Garamond"/>
          <w:color w:val="231F20"/>
          <w:sz w:val="22"/>
          <w:szCs w:val="22"/>
        </w:rPr>
        <w:t xml:space="preserve">task force </w:t>
      </w:r>
      <w:r w:rsidRPr="00581A6A">
        <w:rPr>
          <w:rFonts w:ascii="Garamond" w:hAnsi="Garamond"/>
          <w:color w:val="231F20"/>
          <w:sz w:val="22"/>
          <w:szCs w:val="22"/>
        </w:rPr>
        <w:t>will seek to accelerate progress toward a unified M&amp;E system and coordinate investment</w:t>
      </w:r>
      <w:r w:rsidR="00242025" w:rsidRPr="00581A6A">
        <w:rPr>
          <w:rFonts w:ascii="Garamond" w:hAnsi="Garamond"/>
          <w:color w:val="231F20"/>
          <w:sz w:val="22"/>
          <w:szCs w:val="22"/>
        </w:rPr>
        <w:t xml:space="preserve"> </w:t>
      </w:r>
      <w:r w:rsidRPr="00581A6A">
        <w:rPr>
          <w:rFonts w:ascii="Garamond" w:hAnsi="Garamond"/>
          <w:color w:val="231F20"/>
          <w:sz w:val="22"/>
          <w:szCs w:val="22"/>
        </w:rPr>
        <w:t>across</w:t>
      </w:r>
      <w:r w:rsidR="00242025" w:rsidRPr="00581A6A">
        <w:rPr>
          <w:rFonts w:ascii="Garamond" w:hAnsi="Garamond"/>
          <w:color w:val="231F20"/>
          <w:sz w:val="22"/>
          <w:szCs w:val="22"/>
        </w:rPr>
        <w:t xml:space="preserve"> </w:t>
      </w:r>
      <w:r w:rsidRPr="00581A6A">
        <w:rPr>
          <w:rFonts w:ascii="Garamond" w:hAnsi="Garamond"/>
          <w:color w:val="231F20"/>
          <w:sz w:val="22"/>
          <w:szCs w:val="22"/>
        </w:rPr>
        <w:t xml:space="preserve">donors to maximize efficiency and reduce duplication. The terms indicate the </w:t>
      </w:r>
      <w:r w:rsidR="0007436C" w:rsidRPr="00581A6A">
        <w:rPr>
          <w:rFonts w:ascii="Garamond" w:hAnsi="Garamond"/>
          <w:color w:val="231F20"/>
          <w:sz w:val="22"/>
          <w:szCs w:val="22"/>
        </w:rPr>
        <w:t xml:space="preserve">task force </w:t>
      </w:r>
      <w:r w:rsidRPr="00581A6A">
        <w:rPr>
          <w:rFonts w:ascii="Garamond" w:hAnsi="Garamond"/>
          <w:color w:val="231F20"/>
          <w:sz w:val="22"/>
          <w:szCs w:val="22"/>
        </w:rPr>
        <w:t xml:space="preserve">would be housed within the </w:t>
      </w:r>
      <w:r w:rsidR="0007436C" w:rsidRPr="00581A6A">
        <w:rPr>
          <w:rFonts w:ascii="Garamond" w:hAnsi="Garamond"/>
          <w:color w:val="231F20"/>
          <w:sz w:val="22"/>
          <w:szCs w:val="22"/>
        </w:rPr>
        <w:t>health information technical working group</w:t>
      </w:r>
      <w:r w:rsidRPr="00581A6A">
        <w:rPr>
          <w:rFonts w:ascii="Garamond" w:hAnsi="Garamond"/>
          <w:color w:val="231F20"/>
          <w:sz w:val="22"/>
          <w:szCs w:val="22"/>
        </w:rPr>
        <w:t>.</w:t>
      </w:r>
    </w:p>
    <w:p w14:paraId="0E57ABC3" w14:textId="20705EF2" w:rsidR="001247A6" w:rsidRPr="00581A6A" w:rsidRDefault="00D5604E" w:rsidP="00581A6A">
      <w:pPr>
        <w:pStyle w:val="BodyText"/>
        <w:spacing w:line="338" w:lineRule="auto"/>
        <w:ind w:right="285"/>
        <w:rPr>
          <w:rFonts w:ascii="Garamond" w:hAnsi="Garamond"/>
          <w:color w:val="231F20"/>
          <w:sz w:val="22"/>
          <w:szCs w:val="22"/>
        </w:rPr>
      </w:pPr>
      <w:r w:rsidRPr="00581A6A">
        <w:rPr>
          <w:rFonts w:ascii="Garamond" w:hAnsi="Garamond"/>
          <w:color w:val="231F20"/>
          <w:sz w:val="22"/>
          <w:szCs w:val="22"/>
        </w:rPr>
        <w:t xml:space="preserve">Of note, funding to support the Task Force Secretariat has been requested from the World Bank, yet not approved as of this </w:t>
      </w:r>
      <w:r w:rsidR="0007436C" w:rsidRPr="00581A6A">
        <w:rPr>
          <w:rFonts w:ascii="Garamond" w:hAnsi="Garamond"/>
          <w:color w:val="231F20"/>
          <w:sz w:val="22"/>
          <w:szCs w:val="22"/>
        </w:rPr>
        <w:t>writing</w:t>
      </w:r>
      <w:r w:rsidRPr="00581A6A">
        <w:rPr>
          <w:rFonts w:ascii="Garamond" w:hAnsi="Garamond"/>
          <w:color w:val="231F20"/>
          <w:sz w:val="22"/>
          <w:szCs w:val="22"/>
        </w:rPr>
        <w:t>.</w:t>
      </w:r>
    </w:p>
    <w:p w14:paraId="54651E92" w14:textId="77777777" w:rsidR="0068732D" w:rsidRPr="00581A6A" w:rsidRDefault="0068732D" w:rsidP="00581A6A">
      <w:pPr>
        <w:pStyle w:val="BodyText"/>
        <w:spacing w:line="338" w:lineRule="auto"/>
        <w:ind w:right="285"/>
        <w:rPr>
          <w:color w:val="231F20"/>
          <w:sz w:val="20"/>
          <w:szCs w:val="20"/>
        </w:rPr>
      </w:pPr>
    </w:p>
    <w:p w14:paraId="4652B2DC" w14:textId="11F73A64" w:rsidR="0068732D" w:rsidRPr="00581A6A" w:rsidRDefault="0068732D" w:rsidP="00581A6A">
      <w:pPr>
        <w:widowControl/>
        <w:shd w:val="clear" w:color="auto" w:fill="FFFFFF"/>
        <w:spacing w:after="120" w:line="220" w:lineRule="atLeast"/>
        <w:rPr>
          <w:rFonts w:ascii="Century Gothic" w:eastAsia="Times New Roman" w:hAnsi="Century Gothic"/>
          <w:sz w:val="24"/>
          <w:szCs w:val="18"/>
        </w:rPr>
      </w:pPr>
      <w:r w:rsidRPr="00581A6A">
        <w:rPr>
          <w:rFonts w:ascii="Century Gothic" w:eastAsia="Times New Roman" w:hAnsi="Century Gothic"/>
          <w:bCs/>
          <w:sz w:val="24"/>
          <w:szCs w:val="18"/>
        </w:rPr>
        <w:t>Acknowledgments:</w:t>
      </w:r>
    </w:p>
    <w:p w14:paraId="6DA48A5F" w14:textId="5487C4F3" w:rsidR="0068732D" w:rsidRPr="00581A6A" w:rsidRDefault="0068732D" w:rsidP="00581A6A">
      <w:pPr>
        <w:pStyle w:val="ListParagraph"/>
        <w:widowControl/>
        <w:numPr>
          <w:ilvl w:val="0"/>
          <w:numId w:val="9"/>
        </w:numPr>
        <w:shd w:val="clear" w:color="auto" w:fill="FFFFFF"/>
        <w:spacing w:after="120" w:line="220" w:lineRule="atLeast"/>
        <w:rPr>
          <w:rFonts w:ascii="Century Gothic" w:eastAsia="Times New Roman" w:hAnsi="Century Gothic"/>
          <w:bCs/>
          <w:sz w:val="20"/>
          <w:szCs w:val="18"/>
        </w:rPr>
      </w:pPr>
      <w:r w:rsidRPr="00581A6A">
        <w:rPr>
          <w:rFonts w:ascii="Century Gothic" w:eastAsia="Times New Roman" w:hAnsi="Century Gothic"/>
          <w:bCs/>
          <w:sz w:val="20"/>
          <w:szCs w:val="18"/>
        </w:rPr>
        <w:t xml:space="preserve">Rhino </w:t>
      </w:r>
      <w:proofErr w:type="spellStart"/>
      <w:r w:rsidRPr="00581A6A">
        <w:rPr>
          <w:rFonts w:ascii="Century Gothic" w:eastAsia="Times New Roman" w:hAnsi="Century Gothic"/>
          <w:bCs/>
          <w:sz w:val="20"/>
          <w:szCs w:val="18"/>
        </w:rPr>
        <w:t>Mchenga</w:t>
      </w:r>
      <w:proofErr w:type="spellEnd"/>
      <w:r w:rsidRPr="00581A6A">
        <w:rPr>
          <w:rFonts w:ascii="Century Gothic" w:eastAsia="Times New Roman" w:hAnsi="Century Gothic"/>
          <w:bCs/>
          <w:sz w:val="20"/>
          <w:szCs w:val="18"/>
        </w:rPr>
        <w:t xml:space="preserve"> and Isaac </w:t>
      </w:r>
      <w:proofErr w:type="spellStart"/>
      <w:r w:rsidRPr="00581A6A">
        <w:rPr>
          <w:rFonts w:ascii="Century Gothic" w:eastAsia="Times New Roman" w:hAnsi="Century Gothic"/>
          <w:bCs/>
          <w:sz w:val="20"/>
          <w:szCs w:val="18"/>
        </w:rPr>
        <w:t>Dambula</w:t>
      </w:r>
      <w:proofErr w:type="spellEnd"/>
      <w:r w:rsidRPr="00581A6A">
        <w:rPr>
          <w:rFonts w:ascii="Century Gothic" w:eastAsia="Times New Roman" w:hAnsi="Century Gothic"/>
          <w:bCs/>
          <w:sz w:val="20"/>
          <w:szCs w:val="18"/>
        </w:rPr>
        <w:t xml:space="preserve"> (Ministry of Health, Malawi) </w:t>
      </w:r>
    </w:p>
    <w:p w14:paraId="5C5D404B" w14:textId="24C02D07" w:rsidR="0068732D" w:rsidRPr="00581A6A" w:rsidRDefault="0068732D" w:rsidP="00581A6A">
      <w:pPr>
        <w:pStyle w:val="ListParagraph"/>
        <w:widowControl/>
        <w:numPr>
          <w:ilvl w:val="0"/>
          <w:numId w:val="9"/>
        </w:numPr>
        <w:shd w:val="clear" w:color="auto" w:fill="FFFFFF"/>
        <w:spacing w:after="120" w:line="220" w:lineRule="atLeast"/>
        <w:rPr>
          <w:rFonts w:ascii="Century Gothic" w:eastAsia="Times New Roman" w:hAnsi="Century Gothic"/>
          <w:bCs/>
          <w:sz w:val="20"/>
          <w:szCs w:val="18"/>
        </w:rPr>
      </w:pPr>
      <w:r w:rsidRPr="00581A6A">
        <w:rPr>
          <w:rFonts w:ascii="Century Gothic" w:eastAsia="Times New Roman" w:hAnsi="Century Gothic"/>
          <w:bCs/>
          <w:sz w:val="20"/>
          <w:szCs w:val="18"/>
        </w:rPr>
        <w:t xml:space="preserve">Simon </w:t>
      </w:r>
      <w:proofErr w:type="spellStart"/>
      <w:r w:rsidRPr="00581A6A">
        <w:rPr>
          <w:rFonts w:ascii="Century Gothic" w:eastAsia="Times New Roman" w:hAnsi="Century Gothic"/>
          <w:bCs/>
          <w:sz w:val="20"/>
          <w:szCs w:val="18"/>
        </w:rPr>
        <w:t>Ndira</w:t>
      </w:r>
      <w:proofErr w:type="spellEnd"/>
      <w:r w:rsidRPr="00581A6A">
        <w:rPr>
          <w:rFonts w:ascii="Century Gothic" w:eastAsia="Times New Roman" w:hAnsi="Century Gothic"/>
          <w:bCs/>
          <w:sz w:val="20"/>
          <w:szCs w:val="18"/>
        </w:rPr>
        <w:t xml:space="preserve"> (</w:t>
      </w:r>
      <w:proofErr w:type="spellStart"/>
      <w:r w:rsidRPr="00581A6A">
        <w:rPr>
          <w:rFonts w:ascii="Century Gothic" w:eastAsia="Times New Roman" w:hAnsi="Century Gothic"/>
          <w:bCs/>
          <w:sz w:val="20"/>
          <w:szCs w:val="18"/>
        </w:rPr>
        <w:t>Gesellschaft</w:t>
      </w:r>
      <w:proofErr w:type="spellEnd"/>
      <w:r w:rsidRPr="00581A6A">
        <w:rPr>
          <w:rFonts w:ascii="Century Gothic" w:eastAsia="Times New Roman" w:hAnsi="Century Gothic"/>
          <w:bCs/>
          <w:sz w:val="20"/>
          <w:szCs w:val="18"/>
        </w:rPr>
        <w:t xml:space="preserve"> fur </w:t>
      </w:r>
      <w:proofErr w:type="spellStart"/>
      <w:r w:rsidRPr="00581A6A">
        <w:rPr>
          <w:rFonts w:ascii="Century Gothic" w:eastAsia="Times New Roman" w:hAnsi="Century Gothic"/>
          <w:bCs/>
          <w:sz w:val="20"/>
          <w:szCs w:val="18"/>
        </w:rPr>
        <w:t>Internationale</w:t>
      </w:r>
      <w:proofErr w:type="spellEnd"/>
      <w:r w:rsidRPr="00581A6A">
        <w:rPr>
          <w:rFonts w:ascii="Century Gothic" w:eastAsia="Times New Roman" w:hAnsi="Century Gothic"/>
          <w:bCs/>
          <w:sz w:val="20"/>
          <w:szCs w:val="18"/>
        </w:rPr>
        <w:t xml:space="preserve"> </w:t>
      </w:r>
      <w:proofErr w:type="spellStart"/>
      <w:r w:rsidRPr="00581A6A">
        <w:rPr>
          <w:rFonts w:ascii="Century Gothic" w:eastAsia="Times New Roman" w:hAnsi="Century Gothic"/>
          <w:bCs/>
          <w:sz w:val="20"/>
          <w:szCs w:val="18"/>
        </w:rPr>
        <w:t>Zusammenarbeit</w:t>
      </w:r>
      <w:proofErr w:type="spellEnd"/>
      <w:r w:rsidRPr="00581A6A">
        <w:rPr>
          <w:rFonts w:ascii="Century Gothic" w:eastAsia="Times New Roman" w:hAnsi="Century Gothic"/>
          <w:bCs/>
          <w:sz w:val="20"/>
          <w:szCs w:val="18"/>
        </w:rPr>
        <w:t xml:space="preserve"> </w:t>
      </w:r>
      <w:r w:rsidR="0007436C" w:rsidRPr="00581A6A">
        <w:rPr>
          <w:rFonts w:ascii="Century Gothic" w:eastAsia="Times New Roman" w:hAnsi="Century Gothic"/>
          <w:bCs/>
          <w:sz w:val="20"/>
          <w:szCs w:val="18"/>
        </w:rPr>
        <w:t>(</w:t>
      </w:r>
      <w:proofErr w:type="spellStart"/>
      <w:r w:rsidR="005D1399" w:rsidRPr="00581A6A">
        <w:rPr>
          <w:rFonts w:ascii="Century Gothic" w:eastAsia="Times New Roman" w:hAnsi="Century Gothic"/>
          <w:bCs/>
          <w:sz w:val="20"/>
          <w:szCs w:val="18"/>
        </w:rPr>
        <w:t>GiZ</w:t>
      </w:r>
      <w:proofErr w:type="spellEnd"/>
      <w:r w:rsidR="0007436C" w:rsidRPr="00581A6A">
        <w:rPr>
          <w:rFonts w:ascii="Century Gothic" w:eastAsia="Times New Roman" w:hAnsi="Century Gothic"/>
          <w:bCs/>
          <w:sz w:val="20"/>
          <w:szCs w:val="18"/>
        </w:rPr>
        <w:t>)/</w:t>
      </w:r>
      <w:r w:rsidR="005D1399" w:rsidRPr="00581A6A">
        <w:rPr>
          <w:rFonts w:ascii="Century Gothic" w:eastAsia="Times New Roman" w:hAnsi="Century Gothic"/>
          <w:bCs/>
          <w:sz w:val="20"/>
          <w:szCs w:val="18"/>
        </w:rPr>
        <w:t>Malawi)</w:t>
      </w:r>
    </w:p>
    <w:p w14:paraId="007858BD" w14:textId="286F0CD4" w:rsidR="005D1399" w:rsidRPr="00581A6A" w:rsidRDefault="005D1399" w:rsidP="00581A6A">
      <w:pPr>
        <w:pStyle w:val="ListParagraph"/>
        <w:widowControl/>
        <w:numPr>
          <w:ilvl w:val="0"/>
          <w:numId w:val="9"/>
        </w:numPr>
        <w:shd w:val="clear" w:color="auto" w:fill="FFFFFF"/>
        <w:spacing w:after="120" w:line="220" w:lineRule="atLeast"/>
        <w:rPr>
          <w:rFonts w:ascii="Century Gothic" w:eastAsia="Times New Roman" w:hAnsi="Century Gothic"/>
          <w:sz w:val="20"/>
          <w:szCs w:val="18"/>
        </w:rPr>
      </w:pPr>
      <w:proofErr w:type="spellStart"/>
      <w:r w:rsidRPr="00581A6A">
        <w:rPr>
          <w:rFonts w:ascii="Century Gothic" w:eastAsia="Times New Roman" w:hAnsi="Century Gothic"/>
          <w:sz w:val="20"/>
          <w:szCs w:val="18"/>
        </w:rPr>
        <w:t>Maganizo</w:t>
      </w:r>
      <w:proofErr w:type="spellEnd"/>
      <w:r w:rsidRPr="00581A6A">
        <w:rPr>
          <w:rFonts w:ascii="Century Gothic" w:eastAsia="Times New Roman" w:hAnsi="Century Gothic"/>
          <w:sz w:val="20"/>
          <w:szCs w:val="18"/>
        </w:rPr>
        <w:t xml:space="preserve"> </w:t>
      </w:r>
      <w:proofErr w:type="spellStart"/>
      <w:r w:rsidRPr="00581A6A">
        <w:rPr>
          <w:rFonts w:ascii="Century Gothic" w:eastAsia="Times New Roman" w:hAnsi="Century Gothic"/>
          <w:sz w:val="20"/>
          <w:szCs w:val="18"/>
        </w:rPr>
        <w:t>Monawe</w:t>
      </w:r>
      <w:proofErr w:type="spellEnd"/>
      <w:r w:rsidRPr="00581A6A">
        <w:rPr>
          <w:rFonts w:ascii="Century Gothic" w:eastAsia="Times New Roman" w:hAnsi="Century Gothic"/>
          <w:sz w:val="20"/>
          <w:szCs w:val="18"/>
        </w:rPr>
        <w:t xml:space="preserve"> (</w:t>
      </w:r>
      <w:r w:rsidR="0007436C" w:rsidRPr="00581A6A">
        <w:rPr>
          <w:rFonts w:ascii="Century Gothic" w:eastAsia="Times New Roman" w:hAnsi="Century Gothic"/>
          <w:sz w:val="20"/>
          <w:szCs w:val="18"/>
        </w:rPr>
        <w:t>Bill &amp; Melinda Gates Foundation/</w:t>
      </w:r>
      <w:r w:rsidRPr="00581A6A">
        <w:rPr>
          <w:rFonts w:ascii="Century Gothic" w:eastAsia="Times New Roman" w:hAnsi="Century Gothic"/>
          <w:sz w:val="20"/>
          <w:szCs w:val="18"/>
        </w:rPr>
        <w:t>Malawi)</w:t>
      </w:r>
    </w:p>
    <w:p w14:paraId="23F0F5D2" w14:textId="72138C6B" w:rsidR="0068732D" w:rsidRPr="00581A6A" w:rsidRDefault="005C7F3F" w:rsidP="00242025">
      <w:pPr>
        <w:pStyle w:val="BodyText"/>
        <w:spacing w:line="338" w:lineRule="auto"/>
        <w:ind w:left="231" w:right="285"/>
        <w:rPr>
          <w:sz w:val="20"/>
          <w:szCs w:val="20"/>
        </w:rPr>
      </w:pPr>
      <w:r>
        <w:rPr>
          <w:noProof/>
          <w:sz w:val="20"/>
          <w:szCs w:val="20"/>
        </w:rPr>
        <w:drawing>
          <wp:anchor distT="0" distB="0" distL="114300" distR="114300" simplePos="0" relativeHeight="251662336" behindDoc="0" locked="0" layoutInCell="1" allowOverlap="1" wp14:anchorId="36BD90A2" wp14:editId="4936F302">
            <wp:simplePos x="0" y="0"/>
            <wp:positionH relativeFrom="column">
              <wp:posOffset>-213995</wp:posOffset>
            </wp:positionH>
            <wp:positionV relativeFrom="paragraph">
              <wp:posOffset>274320</wp:posOffset>
            </wp:positionV>
            <wp:extent cx="6017540" cy="1769745"/>
            <wp:effectExtent l="0" t="0" r="254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IS Logo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17540" cy="1769745"/>
                    </a:xfrm>
                    <a:prstGeom prst="rect">
                      <a:avLst/>
                    </a:prstGeom>
                  </pic:spPr>
                </pic:pic>
              </a:graphicData>
            </a:graphic>
            <wp14:sizeRelH relativeFrom="page">
              <wp14:pctWidth>0</wp14:pctWidth>
            </wp14:sizeRelH>
            <wp14:sizeRelV relativeFrom="page">
              <wp14:pctHeight>0</wp14:pctHeight>
            </wp14:sizeRelV>
          </wp:anchor>
        </w:drawing>
      </w:r>
    </w:p>
    <w:sectPr w:rsidR="0068732D" w:rsidRPr="00581A6A" w:rsidSect="00581A6A">
      <w:footerReference w:type="default" r:id="rId14"/>
      <w:pgSz w:w="11904" w:h="16836" w:code="9"/>
      <w:pgMar w:top="1340" w:right="1538" w:bottom="1493" w:left="1488" w:header="0" w:footer="5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5A3CC" w14:textId="77777777" w:rsidR="005B27C8" w:rsidRDefault="005B27C8">
      <w:r>
        <w:separator/>
      </w:r>
    </w:p>
  </w:endnote>
  <w:endnote w:type="continuationSeparator" w:id="0">
    <w:p w14:paraId="3D899A7E" w14:textId="77777777" w:rsidR="005B27C8" w:rsidRDefault="005B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8265A" w14:textId="38B5C63A" w:rsidR="001247A6" w:rsidRDefault="001247A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A7693" w14:textId="77777777" w:rsidR="005B27C8" w:rsidRDefault="005B27C8">
      <w:r>
        <w:separator/>
      </w:r>
    </w:p>
  </w:footnote>
  <w:footnote w:type="continuationSeparator" w:id="0">
    <w:p w14:paraId="17592D5A" w14:textId="77777777" w:rsidR="005B27C8" w:rsidRDefault="005B2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A656C"/>
    <w:multiLevelType w:val="hybridMultilevel"/>
    <w:tmpl w:val="E67CB6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1A21508"/>
    <w:multiLevelType w:val="hybridMultilevel"/>
    <w:tmpl w:val="F97A3E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376B6E"/>
    <w:multiLevelType w:val="hybridMultilevel"/>
    <w:tmpl w:val="69A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77051"/>
    <w:multiLevelType w:val="hybridMultilevel"/>
    <w:tmpl w:val="35D23A7A"/>
    <w:lvl w:ilvl="0" w:tplc="B5089CF2">
      <w:start w:val="1"/>
      <w:numFmt w:val="bullet"/>
      <w:lvlText w:val=""/>
      <w:lvlJc w:val="left"/>
      <w:pPr>
        <w:ind w:left="592" w:hanging="360"/>
      </w:pPr>
      <w:rPr>
        <w:rFonts w:ascii="Symbol" w:eastAsia="Symbol" w:hAnsi="Symbol" w:cs="Symbol" w:hint="default"/>
        <w:color w:val="231F20"/>
        <w:w w:val="103"/>
        <w:sz w:val="19"/>
        <w:szCs w:val="19"/>
      </w:rPr>
    </w:lvl>
    <w:lvl w:ilvl="1" w:tplc="6A26C8CC">
      <w:start w:val="1"/>
      <w:numFmt w:val="bullet"/>
      <w:lvlText w:val="•"/>
      <w:lvlJc w:val="left"/>
      <w:pPr>
        <w:ind w:left="1576" w:hanging="360"/>
      </w:pPr>
      <w:rPr>
        <w:rFonts w:hint="default"/>
      </w:rPr>
    </w:lvl>
    <w:lvl w:ilvl="2" w:tplc="F2788E44">
      <w:start w:val="1"/>
      <w:numFmt w:val="bullet"/>
      <w:lvlText w:val="•"/>
      <w:lvlJc w:val="left"/>
      <w:pPr>
        <w:ind w:left="2552" w:hanging="360"/>
      </w:pPr>
      <w:rPr>
        <w:rFonts w:hint="default"/>
      </w:rPr>
    </w:lvl>
    <w:lvl w:ilvl="3" w:tplc="4120E04E">
      <w:start w:val="1"/>
      <w:numFmt w:val="bullet"/>
      <w:lvlText w:val="•"/>
      <w:lvlJc w:val="left"/>
      <w:pPr>
        <w:ind w:left="3528" w:hanging="360"/>
      </w:pPr>
      <w:rPr>
        <w:rFonts w:hint="default"/>
      </w:rPr>
    </w:lvl>
    <w:lvl w:ilvl="4" w:tplc="AAD2BB2E">
      <w:start w:val="1"/>
      <w:numFmt w:val="bullet"/>
      <w:lvlText w:val="•"/>
      <w:lvlJc w:val="left"/>
      <w:pPr>
        <w:ind w:left="4504" w:hanging="360"/>
      </w:pPr>
      <w:rPr>
        <w:rFonts w:hint="default"/>
      </w:rPr>
    </w:lvl>
    <w:lvl w:ilvl="5" w:tplc="72AC90D6">
      <w:start w:val="1"/>
      <w:numFmt w:val="bullet"/>
      <w:lvlText w:val="•"/>
      <w:lvlJc w:val="left"/>
      <w:pPr>
        <w:ind w:left="5480" w:hanging="360"/>
      </w:pPr>
      <w:rPr>
        <w:rFonts w:hint="default"/>
      </w:rPr>
    </w:lvl>
    <w:lvl w:ilvl="6" w:tplc="F6105E76">
      <w:start w:val="1"/>
      <w:numFmt w:val="bullet"/>
      <w:lvlText w:val="•"/>
      <w:lvlJc w:val="left"/>
      <w:pPr>
        <w:ind w:left="6456" w:hanging="360"/>
      </w:pPr>
      <w:rPr>
        <w:rFonts w:hint="default"/>
      </w:rPr>
    </w:lvl>
    <w:lvl w:ilvl="7" w:tplc="2F36AC84">
      <w:start w:val="1"/>
      <w:numFmt w:val="bullet"/>
      <w:lvlText w:val="•"/>
      <w:lvlJc w:val="left"/>
      <w:pPr>
        <w:ind w:left="7432" w:hanging="360"/>
      </w:pPr>
      <w:rPr>
        <w:rFonts w:hint="default"/>
      </w:rPr>
    </w:lvl>
    <w:lvl w:ilvl="8" w:tplc="DB2012F6">
      <w:start w:val="1"/>
      <w:numFmt w:val="bullet"/>
      <w:lvlText w:val="•"/>
      <w:lvlJc w:val="left"/>
      <w:pPr>
        <w:ind w:left="8408" w:hanging="360"/>
      </w:pPr>
      <w:rPr>
        <w:rFonts w:hint="default"/>
      </w:rPr>
    </w:lvl>
  </w:abstractNum>
  <w:abstractNum w:abstractNumId="4" w15:restartNumberingAfterBreak="0">
    <w:nsid w:val="55EF797E"/>
    <w:multiLevelType w:val="hybridMultilevel"/>
    <w:tmpl w:val="5F7C6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4031B"/>
    <w:multiLevelType w:val="hybridMultilevel"/>
    <w:tmpl w:val="738405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B396F28"/>
    <w:multiLevelType w:val="hybridMultilevel"/>
    <w:tmpl w:val="51963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9767C1"/>
    <w:multiLevelType w:val="hybridMultilevel"/>
    <w:tmpl w:val="4B2670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FCA2DC8"/>
    <w:multiLevelType w:val="hybridMultilevel"/>
    <w:tmpl w:val="FE140D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8"/>
  </w:num>
  <w:num w:numId="5">
    <w:abstractNumId w:val="2"/>
  </w:num>
  <w:num w:numId="6">
    <w:abstractNumId w:val="7"/>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7A6"/>
    <w:rsid w:val="00042930"/>
    <w:rsid w:val="00046C62"/>
    <w:rsid w:val="0007436C"/>
    <w:rsid w:val="001247A6"/>
    <w:rsid w:val="00177DF0"/>
    <w:rsid w:val="00202741"/>
    <w:rsid w:val="00242025"/>
    <w:rsid w:val="00581A6A"/>
    <w:rsid w:val="005B27C8"/>
    <w:rsid w:val="005C7F3F"/>
    <w:rsid w:val="005D1399"/>
    <w:rsid w:val="00671EF9"/>
    <w:rsid w:val="0068732D"/>
    <w:rsid w:val="006F02BD"/>
    <w:rsid w:val="007E3055"/>
    <w:rsid w:val="00AC1812"/>
    <w:rsid w:val="00C45136"/>
    <w:rsid w:val="00D22B09"/>
    <w:rsid w:val="00D5604E"/>
    <w:rsid w:val="00DA4522"/>
    <w:rsid w:val="00FB7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C2E92"/>
  <w15:docId w15:val="{773E8500-8681-4749-9A7C-8AACA32C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591" w:right="184"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429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930"/>
    <w:rPr>
      <w:rFonts w:ascii="Segoe UI" w:eastAsia="Arial" w:hAnsi="Segoe UI" w:cs="Segoe UI"/>
      <w:sz w:val="18"/>
      <w:szCs w:val="18"/>
    </w:rPr>
  </w:style>
  <w:style w:type="character" w:styleId="CommentReference">
    <w:name w:val="annotation reference"/>
    <w:basedOn w:val="DefaultParagraphFont"/>
    <w:uiPriority w:val="99"/>
    <w:semiHidden/>
    <w:unhideWhenUsed/>
    <w:rsid w:val="00042930"/>
    <w:rPr>
      <w:sz w:val="16"/>
      <w:szCs w:val="16"/>
    </w:rPr>
  </w:style>
  <w:style w:type="paragraph" w:styleId="CommentText">
    <w:name w:val="annotation text"/>
    <w:basedOn w:val="Normal"/>
    <w:link w:val="CommentTextChar"/>
    <w:uiPriority w:val="99"/>
    <w:semiHidden/>
    <w:unhideWhenUsed/>
    <w:rsid w:val="00042930"/>
    <w:rPr>
      <w:sz w:val="20"/>
      <w:szCs w:val="20"/>
    </w:rPr>
  </w:style>
  <w:style w:type="character" w:customStyle="1" w:styleId="CommentTextChar">
    <w:name w:val="Comment Text Char"/>
    <w:basedOn w:val="DefaultParagraphFont"/>
    <w:link w:val="CommentText"/>
    <w:uiPriority w:val="99"/>
    <w:semiHidden/>
    <w:rsid w:val="000429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42930"/>
    <w:rPr>
      <w:b/>
      <w:bCs/>
    </w:rPr>
  </w:style>
  <w:style w:type="character" w:customStyle="1" w:styleId="CommentSubjectChar">
    <w:name w:val="Comment Subject Char"/>
    <w:basedOn w:val="CommentTextChar"/>
    <w:link w:val="CommentSubject"/>
    <w:uiPriority w:val="99"/>
    <w:semiHidden/>
    <w:rsid w:val="00042930"/>
    <w:rPr>
      <w:rFonts w:ascii="Arial" w:eastAsia="Arial" w:hAnsi="Arial" w:cs="Arial"/>
      <w:b/>
      <w:bCs/>
      <w:sz w:val="20"/>
      <w:szCs w:val="20"/>
    </w:rPr>
  </w:style>
  <w:style w:type="character" w:styleId="Hyperlink">
    <w:name w:val="Hyperlink"/>
    <w:basedOn w:val="DefaultParagraphFont"/>
    <w:uiPriority w:val="99"/>
    <w:unhideWhenUsed/>
    <w:rsid w:val="00581A6A"/>
    <w:rPr>
      <w:color w:val="0000FF" w:themeColor="hyperlink"/>
      <w:u w:val="single"/>
    </w:rPr>
  </w:style>
  <w:style w:type="paragraph" w:styleId="Header">
    <w:name w:val="header"/>
    <w:basedOn w:val="Normal"/>
    <w:link w:val="HeaderChar"/>
    <w:uiPriority w:val="99"/>
    <w:unhideWhenUsed/>
    <w:rsid w:val="00581A6A"/>
    <w:pPr>
      <w:tabs>
        <w:tab w:val="center" w:pos="4680"/>
        <w:tab w:val="right" w:pos="9360"/>
      </w:tabs>
    </w:pPr>
  </w:style>
  <w:style w:type="character" w:customStyle="1" w:styleId="HeaderChar">
    <w:name w:val="Header Char"/>
    <w:basedOn w:val="DefaultParagraphFont"/>
    <w:link w:val="Header"/>
    <w:uiPriority w:val="99"/>
    <w:rsid w:val="00581A6A"/>
    <w:rPr>
      <w:rFonts w:ascii="Arial" w:eastAsia="Arial" w:hAnsi="Arial" w:cs="Arial"/>
    </w:rPr>
  </w:style>
  <w:style w:type="paragraph" w:styleId="Footer">
    <w:name w:val="footer"/>
    <w:basedOn w:val="Normal"/>
    <w:link w:val="FooterChar"/>
    <w:uiPriority w:val="99"/>
    <w:unhideWhenUsed/>
    <w:rsid w:val="00581A6A"/>
    <w:pPr>
      <w:tabs>
        <w:tab w:val="center" w:pos="4680"/>
        <w:tab w:val="right" w:pos="9360"/>
      </w:tabs>
    </w:pPr>
  </w:style>
  <w:style w:type="character" w:customStyle="1" w:styleId="FooterChar">
    <w:name w:val="Footer Char"/>
    <w:basedOn w:val="DefaultParagraphFont"/>
    <w:link w:val="Footer"/>
    <w:uiPriority w:val="99"/>
    <w:rsid w:val="00581A6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817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asureevaluation.org/our-work/routine-health-information-systems/rhis-curriculu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easureevaluation.org/our-work/routine-health-information-systems/rhis-curriculu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83303621329D4DAFC578165ED47C26" ma:contentTypeVersion="0" ma:contentTypeDescription="Create a new document." ma:contentTypeScope="" ma:versionID="e9c678eae885f8b7595ed37087805c11">
  <xsd:schema xmlns:xsd="http://www.w3.org/2001/XMLSchema" xmlns:xs="http://www.w3.org/2001/XMLSchema" xmlns:p="http://schemas.microsoft.com/office/2006/metadata/properties" targetNamespace="http://schemas.microsoft.com/office/2006/metadata/properties" ma:root="true" ma:fieldsID="abc59ee2edf01cfb808cadb27e045d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37EE46-8A0F-4D25-A705-40B7652B37F5}">
  <ds:schemaRefs>
    <ds:schemaRef ds:uri="http://schemas.microsoft.com/sharepoint/v3/contenttype/forms"/>
  </ds:schemaRefs>
</ds:datastoreItem>
</file>

<file path=customXml/itemProps2.xml><?xml version="1.0" encoding="utf-8"?>
<ds:datastoreItem xmlns:ds="http://schemas.openxmlformats.org/officeDocument/2006/customXml" ds:itemID="{CA30F606-4F14-4FB8-876C-DAF1E0C2C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5B60AD8-91C6-4A80-B52E-EC17C87664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Achieving_Unified_ME_System_Malawi_01April2016_GF_Smith.pdf</vt:lpstr>
    </vt:vector>
  </TitlesOfParts>
  <Company>John Snow Inc.</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Achieving_Unified_ME_System_Malawi_01April2016_GF_Smith.pdf</dc:title>
  <dc:creator>tlippeve</dc:creator>
  <cp:lastModifiedBy>Hoover, Donald Wayne</cp:lastModifiedBy>
  <cp:revision>2</cp:revision>
  <dcterms:created xsi:type="dcterms:W3CDTF">2017-02-08T13:34:00Z</dcterms:created>
  <dcterms:modified xsi:type="dcterms:W3CDTF">2017-02-08T13:34:00Z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2016-09-14T00:00:00Z</vt:filetime>
  </property>
  <property fmtid="{D5CDD505-2E9C-101B-9397-08002B2CF9AE}" pid="3" name="Creator">
    <vt:lpwstr>deskPDF 2.5</vt:lpwstr>
  </property>
  <property fmtid="{D5CDD505-2E9C-101B-9397-08002B2CF9AE}" pid="4" name="LastSaved">
    <vt:filetime>2016-09-20T00:00:00Z</vt:filetime>
  </property>
  <property fmtid="{D5CDD505-2E9C-101B-9397-08002B2CF9AE}" pid="5" name="ContentTypeId">
    <vt:lpwstr>0x010100BC83303621329D4DAFC578165ED47C26</vt:lpwstr>
  </property>
</Properties>
</file>