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54F691" w14:textId="77777777" w:rsidR="00306710" w:rsidRPr="00856349" w:rsidRDefault="00856349" w:rsidP="00856349">
      <w:pPr>
        <w:spacing w:before="480" w:line="300" w:lineRule="auto"/>
        <w:jc w:val="left"/>
        <w:rPr>
          <w:rFonts w:ascii="Century Gothic" w:hAnsi="Century Gothic"/>
          <w:b/>
          <w:bCs/>
          <w:caps/>
          <w:color w:val="000000" w:themeColor="text1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9310B" wp14:editId="31DB5DC5">
                <wp:simplePos x="0" y="0"/>
                <wp:positionH relativeFrom="margin">
                  <wp:posOffset>2108835</wp:posOffset>
                </wp:positionH>
                <wp:positionV relativeFrom="margin">
                  <wp:posOffset>-565150</wp:posOffset>
                </wp:positionV>
                <wp:extent cx="3727450" cy="54165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EFAAB" w14:textId="77777777" w:rsidR="00856349" w:rsidRPr="00390609" w:rsidRDefault="00856349" w:rsidP="00856349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BF9310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66.05pt;margin-top:-44.45pt;width:293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9w64c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" filled="f" stroked="f" strokeweight=".5pt">
                <v:path arrowok="t"/>
                <v:textbox>
                  <w:txbxContent>
                    <w:p w14:paraId="3A4EFAAB" w14:textId="77777777" w:rsidR="00856349" w:rsidRPr="00390609" w:rsidRDefault="00856349" w:rsidP="00856349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1E185F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7D61F" wp14:editId="6DDE4CAF">
                <wp:simplePos x="0" y="0"/>
                <wp:positionH relativeFrom="column">
                  <wp:posOffset>-863601</wp:posOffset>
                </wp:positionH>
                <wp:positionV relativeFrom="paragraph">
                  <wp:posOffset>-568960</wp:posOffset>
                </wp:positionV>
                <wp:extent cx="1486535" cy="4546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C028F" w14:textId="77777777" w:rsidR="00856349" w:rsidRPr="00856349" w:rsidRDefault="00856349" w:rsidP="00856349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85634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BF7D61F" id="Text_x0020_Box_x0020_5" o:spid="_x0000_s1027" type="#_x0000_t202" style="position:absolute;margin-left:-68pt;margin-top:-44.75pt;width:117.05pt;height:3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" filled="f" stroked="f">
                <v:textbox>
                  <w:txbxContent>
                    <w:p w14:paraId="0B6C028F" w14:textId="77777777" w:rsidR="00856349" w:rsidRPr="00856349" w:rsidRDefault="00856349" w:rsidP="00856349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85634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7.1.2</w:t>
                      </w:r>
                    </w:p>
                  </w:txbxContent>
                </v:textbox>
              </v:shape>
            </w:pict>
          </mc:Fallback>
        </mc:AlternateContent>
      </w:r>
      <w:r w:rsidRPr="00856349">
        <w:rPr>
          <w:rFonts w:ascii="Century Gothic" w:hAnsi="Century Gothic"/>
          <w:b/>
          <w:noProof/>
          <w:color w:val="1E185F"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0430C54C" wp14:editId="5E0DA17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606" cy="119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E3A" w:rsidRPr="00856349">
        <w:rPr>
          <w:rFonts w:ascii="Century Gothic" w:hAnsi="Century Gothic"/>
          <w:b/>
          <w:color w:val="1E185F"/>
          <w:sz w:val="34"/>
          <w:szCs w:val="34"/>
        </w:rPr>
        <w:t>A</w:t>
      </w:r>
      <w:r w:rsidR="00DA7814" w:rsidRPr="00856349">
        <w:rPr>
          <w:rFonts w:ascii="Century Gothic" w:hAnsi="Century Gothic"/>
          <w:b/>
          <w:bCs/>
          <w:caps/>
          <w:color w:val="000000" w:themeColor="text1"/>
          <w:sz w:val="34"/>
          <w:szCs w:val="34"/>
        </w:rPr>
        <w:t>spects of Decentralization in the Health System</w:t>
      </w:r>
    </w:p>
    <w:p w14:paraId="1583EF25" w14:textId="77777777" w:rsidR="00DA7814" w:rsidRPr="00124B10" w:rsidRDefault="00DA7814" w:rsidP="00856349">
      <w:pPr>
        <w:spacing w:line="300" w:lineRule="auto"/>
        <w:rPr>
          <w:rFonts w:ascii="Garamond" w:hAnsi="Garamond"/>
          <w:b/>
        </w:rPr>
      </w:pPr>
    </w:p>
    <w:p w14:paraId="017A2973" w14:textId="77777777" w:rsidR="00DA7814" w:rsidRPr="00124B10" w:rsidRDefault="00DA7814" w:rsidP="00856349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b/>
          <w:bCs/>
          <w:sz w:val="22"/>
          <w:szCs w:val="22"/>
        </w:rPr>
        <w:t>Decentralization:</w:t>
      </w:r>
      <w:r w:rsidRPr="00124B10">
        <w:rPr>
          <w:rFonts w:ascii="Garamond" w:hAnsi="Garamond"/>
          <w:sz w:val="22"/>
          <w:szCs w:val="22"/>
        </w:rPr>
        <w:t xml:space="preserve"> political reform designed to promote local autonomy, decentralization entails changes in authority and financial responsibility for health services. Hence, decentralization can have a large impact on health service performance. </w:t>
      </w:r>
      <w:r w:rsidR="00F24424">
        <w:rPr>
          <w:rFonts w:ascii="Garamond" w:hAnsi="Garamond"/>
          <w:sz w:val="22"/>
          <w:szCs w:val="22"/>
        </w:rPr>
        <w:t>S</w:t>
      </w:r>
      <w:r w:rsidRPr="00124B10">
        <w:rPr>
          <w:rFonts w:ascii="Garamond" w:hAnsi="Garamond"/>
          <w:sz w:val="22"/>
          <w:szCs w:val="22"/>
        </w:rPr>
        <w:t xml:space="preserve">everal forms of decentralization affect the health sector in different ways: </w:t>
      </w:r>
    </w:p>
    <w:p w14:paraId="4694CD6F" w14:textId="77777777" w:rsidR="00DA7814" w:rsidRPr="00124B10" w:rsidRDefault="00B018CE" w:rsidP="00856349">
      <w:pPr>
        <w:pStyle w:val="ListParagraph"/>
        <w:numPr>
          <w:ilvl w:val="0"/>
          <w:numId w:val="1"/>
        </w:numPr>
        <w:spacing w:after="120" w:line="300" w:lineRule="auto"/>
        <w:ind w:left="630"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De</w:t>
      </w:r>
      <w:r w:rsidR="00DA7814" w:rsidRPr="00124B10">
        <w:rPr>
          <w:rFonts w:ascii="Garamond" w:hAnsi="Garamond"/>
          <w:sz w:val="22"/>
          <w:szCs w:val="22"/>
        </w:rPr>
        <w:t>concentration, which transfers authority and responsibility from the central level of the Ministry of Health to its field offices</w:t>
      </w:r>
    </w:p>
    <w:p w14:paraId="5599FF0E" w14:textId="77777777" w:rsidR="00DA7814" w:rsidRPr="00124B10" w:rsidRDefault="00DA7814" w:rsidP="00856349">
      <w:pPr>
        <w:pStyle w:val="ListParagraph"/>
        <w:numPr>
          <w:ilvl w:val="0"/>
          <w:numId w:val="1"/>
        </w:numPr>
        <w:spacing w:after="120" w:line="300" w:lineRule="auto"/>
        <w:ind w:left="630"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 xml:space="preserve">Delegation, which transfers authority and responsibility from the central level of </w:t>
      </w:r>
      <w:r w:rsidR="00F24424">
        <w:rPr>
          <w:rFonts w:ascii="Garamond" w:hAnsi="Garamond"/>
          <w:sz w:val="22"/>
          <w:szCs w:val="22"/>
        </w:rPr>
        <w:t>a</w:t>
      </w:r>
      <w:r w:rsidR="00F24424" w:rsidRPr="00124B10">
        <w:rPr>
          <w:rFonts w:ascii="Garamond" w:hAnsi="Garamond"/>
          <w:sz w:val="22"/>
          <w:szCs w:val="22"/>
        </w:rPr>
        <w:t xml:space="preserve"> </w:t>
      </w:r>
      <w:r w:rsidR="00F24424">
        <w:rPr>
          <w:rFonts w:ascii="Garamond" w:hAnsi="Garamond"/>
          <w:sz w:val="22"/>
          <w:szCs w:val="22"/>
        </w:rPr>
        <w:t>health m</w:t>
      </w:r>
      <w:r w:rsidR="00F24424" w:rsidRPr="00124B10">
        <w:rPr>
          <w:rFonts w:ascii="Garamond" w:hAnsi="Garamond"/>
          <w:sz w:val="22"/>
          <w:szCs w:val="22"/>
        </w:rPr>
        <w:t xml:space="preserve">inistry </w:t>
      </w:r>
      <w:r w:rsidRPr="00124B10">
        <w:rPr>
          <w:rFonts w:ascii="Garamond" w:hAnsi="Garamond"/>
          <w:sz w:val="22"/>
          <w:szCs w:val="22"/>
        </w:rPr>
        <w:t xml:space="preserve">to organizations </w:t>
      </w:r>
      <w:r w:rsidR="00FC569F">
        <w:rPr>
          <w:rFonts w:ascii="Garamond" w:hAnsi="Garamond"/>
          <w:sz w:val="22"/>
          <w:szCs w:val="22"/>
        </w:rPr>
        <w:t xml:space="preserve">not directly under its control (such as </w:t>
      </w:r>
      <w:r w:rsidR="00F24424">
        <w:rPr>
          <w:rFonts w:ascii="Garamond" w:hAnsi="Garamond"/>
          <w:sz w:val="22"/>
          <w:szCs w:val="22"/>
        </w:rPr>
        <w:t>central pharmacy or training institutions)</w:t>
      </w:r>
    </w:p>
    <w:p w14:paraId="0FDA9853" w14:textId="77777777" w:rsidR="00DA7814" w:rsidRPr="00124B10" w:rsidRDefault="00DA7814" w:rsidP="00856349">
      <w:pPr>
        <w:pStyle w:val="ListParagraph"/>
        <w:numPr>
          <w:ilvl w:val="0"/>
          <w:numId w:val="1"/>
        </w:numPr>
        <w:spacing w:after="120" w:line="300" w:lineRule="auto"/>
        <w:ind w:left="630"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 xml:space="preserve">Devolution, which transfers authority and responsibility from the central level of </w:t>
      </w:r>
      <w:r w:rsidR="00B018CE" w:rsidRPr="00124B10">
        <w:rPr>
          <w:rFonts w:ascii="Garamond" w:hAnsi="Garamond"/>
          <w:sz w:val="22"/>
          <w:szCs w:val="22"/>
        </w:rPr>
        <w:t xml:space="preserve">the </w:t>
      </w:r>
      <w:r w:rsidR="00F24424">
        <w:rPr>
          <w:rFonts w:ascii="Garamond" w:hAnsi="Garamond"/>
          <w:sz w:val="22"/>
          <w:szCs w:val="22"/>
        </w:rPr>
        <w:t xml:space="preserve">government </w:t>
      </w:r>
      <w:r w:rsidR="00AB6477">
        <w:rPr>
          <w:rFonts w:ascii="Garamond" w:hAnsi="Garamond"/>
          <w:sz w:val="22"/>
          <w:szCs w:val="22"/>
        </w:rPr>
        <w:t xml:space="preserve">(including the </w:t>
      </w:r>
      <w:r w:rsidR="00F24424">
        <w:rPr>
          <w:rFonts w:ascii="Garamond" w:hAnsi="Garamond"/>
          <w:sz w:val="22"/>
          <w:szCs w:val="22"/>
        </w:rPr>
        <w:t>health m</w:t>
      </w:r>
      <w:r w:rsidR="00F24424" w:rsidRPr="00124B10">
        <w:rPr>
          <w:rFonts w:ascii="Garamond" w:hAnsi="Garamond"/>
          <w:sz w:val="22"/>
          <w:szCs w:val="22"/>
        </w:rPr>
        <w:t>inistry</w:t>
      </w:r>
      <w:r w:rsidR="00AB6477">
        <w:rPr>
          <w:rFonts w:ascii="Garamond" w:hAnsi="Garamond"/>
          <w:sz w:val="22"/>
          <w:szCs w:val="22"/>
        </w:rPr>
        <w:t>)</w:t>
      </w:r>
      <w:r w:rsidR="00B018CE" w:rsidRPr="00124B10">
        <w:rPr>
          <w:rFonts w:ascii="Garamond" w:hAnsi="Garamond"/>
          <w:sz w:val="22"/>
          <w:szCs w:val="22"/>
        </w:rPr>
        <w:t xml:space="preserve"> to lower-</w:t>
      </w:r>
      <w:r w:rsidRPr="00124B10">
        <w:rPr>
          <w:rFonts w:ascii="Garamond" w:hAnsi="Garamond"/>
          <w:sz w:val="22"/>
          <w:szCs w:val="22"/>
        </w:rPr>
        <w:t xml:space="preserve">level autonomous units of government </w:t>
      </w:r>
    </w:p>
    <w:p w14:paraId="501272A1" w14:textId="77777777" w:rsidR="00DA7814" w:rsidRPr="00856349" w:rsidRDefault="00DA7814" w:rsidP="00856349">
      <w:pPr>
        <w:pStyle w:val="ListParagraph"/>
        <w:numPr>
          <w:ilvl w:val="0"/>
          <w:numId w:val="1"/>
        </w:numPr>
        <w:spacing w:after="240" w:line="300" w:lineRule="auto"/>
        <w:ind w:left="630"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Privatization, which involves the transfer of ownership and government functions from public to private bodies, which may consist of voluntary organizations and for-profit and not-for-profit private organizations, with varying degree of government regulation</w:t>
      </w:r>
    </w:p>
    <w:p w14:paraId="6EC47974" w14:textId="77777777" w:rsidR="00857E3A" w:rsidRPr="00124B10" w:rsidRDefault="00DA7814" w:rsidP="00856349">
      <w:pPr>
        <w:spacing w:after="360" w:line="300" w:lineRule="auto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Most countries have begun to undertake some form of health system decentralizatio</w:t>
      </w:r>
      <w:r w:rsidR="00BA5439" w:rsidRPr="00124B10">
        <w:rPr>
          <w:rFonts w:ascii="Garamond" w:hAnsi="Garamond"/>
          <w:sz w:val="22"/>
          <w:szCs w:val="22"/>
        </w:rPr>
        <w:t xml:space="preserve">n, but the results in terms of health system and service management and performance have been highly variable. </w:t>
      </w:r>
    </w:p>
    <w:p w14:paraId="027457B9" w14:textId="77777777" w:rsidR="00DA7814" w:rsidRPr="00124B10" w:rsidRDefault="00BA5439" w:rsidP="00856349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b/>
          <w:sz w:val="22"/>
          <w:szCs w:val="22"/>
        </w:rPr>
        <w:t xml:space="preserve">Some of the widely anticipated results of decentralization </w:t>
      </w:r>
      <w:r w:rsidR="0029701B" w:rsidRPr="00124B10">
        <w:rPr>
          <w:rFonts w:ascii="Garamond" w:hAnsi="Garamond"/>
          <w:b/>
          <w:sz w:val="22"/>
          <w:szCs w:val="22"/>
        </w:rPr>
        <w:t>ar</w:t>
      </w:r>
      <w:r w:rsidRPr="00124B10">
        <w:rPr>
          <w:rFonts w:ascii="Garamond" w:hAnsi="Garamond"/>
          <w:b/>
          <w:sz w:val="22"/>
          <w:szCs w:val="22"/>
        </w:rPr>
        <w:t>e the following</w:t>
      </w:r>
      <w:r w:rsidRPr="00124B10">
        <w:rPr>
          <w:rFonts w:ascii="Garamond" w:hAnsi="Garamond"/>
          <w:sz w:val="22"/>
          <w:szCs w:val="22"/>
        </w:rPr>
        <w:t>:</w:t>
      </w:r>
    </w:p>
    <w:p w14:paraId="4455FBFE" w14:textId="77777777" w:rsidR="00BA5439" w:rsidRPr="00124B10" w:rsidRDefault="00BA5439" w:rsidP="00856349">
      <w:pPr>
        <w:pStyle w:val="ListParagraph"/>
        <w:numPr>
          <w:ilvl w:val="0"/>
          <w:numId w:val="2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More authority being granted to provincial and district health directors to make more and increasingly</w:t>
      </w:r>
      <w:r w:rsidR="00AD16A8" w:rsidRPr="00124B10">
        <w:rPr>
          <w:rFonts w:ascii="Garamond" w:hAnsi="Garamond"/>
          <w:sz w:val="22"/>
          <w:szCs w:val="22"/>
        </w:rPr>
        <w:t xml:space="preserve"> important decisions on service</w:t>
      </w:r>
      <w:r w:rsidRPr="00124B10">
        <w:rPr>
          <w:rFonts w:ascii="Garamond" w:hAnsi="Garamond"/>
          <w:sz w:val="22"/>
          <w:szCs w:val="22"/>
        </w:rPr>
        <w:t xml:space="preserve"> deve</w:t>
      </w:r>
      <w:r w:rsidR="00B018CE" w:rsidRPr="00124B10">
        <w:rPr>
          <w:rFonts w:ascii="Garamond" w:hAnsi="Garamond"/>
          <w:sz w:val="22"/>
          <w:szCs w:val="22"/>
        </w:rPr>
        <w:t>lopment and resource allocation</w:t>
      </w:r>
    </w:p>
    <w:p w14:paraId="31B12A6D" w14:textId="77777777" w:rsidR="00BA5439" w:rsidRPr="00124B10" w:rsidRDefault="00BA5439" w:rsidP="00856349">
      <w:pPr>
        <w:pStyle w:val="ListParagraph"/>
        <w:numPr>
          <w:ilvl w:val="0"/>
          <w:numId w:val="2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Planning and decision</w:t>
      </w:r>
      <w:r w:rsidR="00857E3A" w:rsidRPr="00124B10">
        <w:rPr>
          <w:rFonts w:ascii="Garamond" w:hAnsi="Garamond"/>
          <w:sz w:val="22"/>
          <w:szCs w:val="22"/>
        </w:rPr>
        <w:t xml:space="preserve"> </w:t>
      </w:r>
      <w:r w:rsidR="00B018CE" w:rsidRPr="00124B10">
        <w:rPr>
          <w:rFonts w:ascii="Garamond" w:hAnsi="Garamond"/>
          <w:sz w:val="22"/>
          <w:szCs w:val="22"/>
        </w:rPr>
        <w:t>making made at the sub</w:t>
      </w:r>
      <w:r w:rsidRPr="00124B10">
        <w:rPr>
          <w:rFonts w:ascii="Garamond" w:hAnsi="Garamond"/>
          <w:sz w:val="22"/>
          <w:szCs w:val="22"/>
        </w:rPr>
        <w:t>national level can better add</w:t>
      </w:r>
      <w:r w:rsidR="00B018CE" w:rsidRPr="00124B10">
        <w:rPr>
          <w:rFonts w:ascii="Garamond" w:hAnsi="Garamond"/>
          <w:sz w:val="22"/>
          <w:szCs w:val="22"/>
        </w:rPr>
        <w:t>ress local needs and conditions</w:t>
      </w:r>
    </w:p>
    <w:p w14:paraId="74B55855" w14:textId="77777777" w:rsidR="00BA5439" w:rsidRPr="00124B10" w:rsidRDefault="00BA5439" w:rsidP="00856349">
      <w:pPr>
        <w:pStyle w:val="ListParagraph"/>
        <w:numPr>
          <w:ilvl w:val="0"/>
          <w:numId w:val="2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 xml:space="preserve">Resources provided </w:t>
      </w:r>
      <w:r w:rsidR="00B018CE" w:rsidRPr="00124B10">
        <w:rPr>
          <w:rFonts w:ascii="Garamond" w:hAnsi="Garamond"/>
          <w:sz w:val="22"/>
          <w:szCs w:val="22"/>
        </w:rPr>
        <w:t>by central-</w:t>
      </w:r>
      <w:r w:rsidRPr="00124B10">
        <w:rPr>
          <w:rFonts w:ascii="Garamond" w:hAnsi="Garamond"/>
          <w:sz w:val="22"/>
          <w:szCs w:val="22"/>
        </w:rPr>
        <w:t>level ministries, programs</w:t>
      </w:r>
      <w:r w:rsidR="00857E3A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and institutions increasingly untied to nationally-defined strategies and activities, leaving more allocation responsibility to the </w:t>
      </w:r>
      <w:r w:rsidR="00AF2973" w:rsidRPr="00124B10">
        <w:rPr>
          <w:rFonts w:ascii="Garamond" w:hAnsi="Garamond"/>
          <w:sz w:val="22"/>
          <w:szCs w:val="22"/>
        </w:rPr>
        <w:t>local authori</w:t>
      </w:r>
      <w:r w:rsidR="00B018CE" w:rsidRPr="00124B10">
        <w:rPr>
          <w:rFonts w:ascii="Garamond" w:hAnsi="Garamond"/>
          <w:sz w:val="22"/>
          <w:szCs w:val="22"/>
        </w:rPr>
        <w:t>ties</w:t>
      </w:r>
    </w:p>
    <w:p w14:paraId="6C0AB2AE" w14:textId="77777777" w:rsidR="00BA5439" w:rsidRPr="00124B10" w:rsidRDefault="00BA5439" w:rsidP="00856349">
      <w:pPr>
        <w:pStyle w:val="ListParagraph"/>
        <w:numPr>
          <w:ilvl w:val="0"/>
          <w:numId w:val="2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 xml:space="preserve">Support </w:t>
      </w:r>
      <w:r w:rsidR="00B018CE" w:rsidRPr="00124B10">
        <w:rPr>
          <w:rFonts w:ascii="Garamond" w:hAnsi="Garamond"/>
          <w:sz w:val="22"/>
          <w:szCs w:val="22"/>
        </w:rPr>
        <w:t>for</w:t>
      </w:r>
      <w:r w:rsidRPr="00124B10">
        <w:rPr>
          <w:rFonts w:ascii="Garamond" w:hAnsi="Garamond"/>
          <w:sz w:val="22"/>
          <w:szCs w:val="22"/>
        </w:rPr>
        <w:t xml:space="preserve"> the health system and sources increasingly benefit</w:t>
      </w:r>
      <w:r w:rsidR="00B018CE" w:rsidRPr="00124B10">
        <w:rPr>
          <w:rFonts w:ascii="Garamond" w:hAnsi="Garamond"/>
          <w:sz w:val="22"/>
          <w:szCs w:val="22"/>
        </w:rPr>
        <w:t>ing</w:t>
      </w:r>
      <w:r w:rsidRPr="00124B10">
        <w:rPr>
          <w:rFonts w:ascii="Garamond" w:hAnsi="Garamond"/>
          <w:sz w:val="22"/>
          <w:szCs w:val="22"/>
        </w:rPr>
        <w:t xml:space="preserve"> from the local involvement, cooperation</w:t>
      </w:r>
      <w:r w:rsidR="00B018CE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and collaboration </w:t>
      </w:r>
      <w:r w:rsidR="00B018CE" w:rsidRPr="00124B10">
        <w:rPr>
          <w:rFonts w:ascii="Garamond" w:hAnsi="Garamond"/>
          <w:sz w:val="22"/>
          <w:szCs w:val="22"/>
        </w:rPr>
        <w:t>of</w:t>
      </w:r>
      <w:r w:rsidRPr="00124B10">
        <w:rPr>
          <w:rFonts w:ascii="Garamond" w:hAnsi="Garamond"/>
          <w:sz w:val="22"/>
          <w:szCs w:val="22"/>
        </w:rPr>
        <w:t xml:space="preserve"> </w:t>
      </w:r>
      <w:r w:rsidR="00B018CE" w:rsidRPr="00124B10">
        <w:rPr>
          <w:rFonts w:ascii="Garamond" w:hAnsi="Garamond"/>
          <w:sz w:val="22"/>
          <w:szCs w:val="22"/>
        </w:rPr>
        <w:t>more stakeholders at that level:</w:t>
      </w:r>
      <w:r w:rsidRPr="00124B10">
        <w:rPr>
          <w:rFonts w:ascii="Garamond" w:hAnsi="Garamond"/>
          <w:sz w:val="22"/>
          <w:szCs w:val="22"/>
        </w:rPr>
        <w:t xml:space="preserve"> the communities and </w:t>
      </w:r>
      <w:r w:rsidR="00B018CE" w:rsidRPr="00124B10">
        <w:rPr>
          <w:rFonts w:ascii="Garamond" w:hAnsi="Garamond"/>
          <w:sz w:val="22"/>
          <w:szCs w:val="22"/>
        </w:rPr>
        <w:t>community-based organization</w:t>
      </w:r>
      <w:r w:rsidRPr="00124B10">
        <w:rPr>
          <w:rFonts w:ascii="Garamond" w:hAnsi="Garamond"/>
          <w:sz w:val="22"/>
          <w:szCs w:val="22"/>
        </w:rPr>
        <w:t>s, the private sector providers, direct contact with external funders and their projects</w:t>
      </w:r>
    </w:p>
    <w:p w14:paraId="7175BC83" w14:textId="77777777" w:rsidR="00AF2973" w:rsidRPr="00856349" w:rsidRDefault="00B018CE" w:rsidP="00856349">
      <w:pPr>
        <w:pStyle w:val="ListParagraph"/>
        <w:numPr>
          <w:ilvl w:val="0"/>
          <w:numId w:val="2"/>
        </w:numPr>
        <w:spacing w:after="36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Central-</w:t>
      </w:r>
      <w:r w:rsidR="00AF2973" w:rsidRPr="00124B10">
        <w:rPr>
          <w:rFonts w:ascii="Garamond" w:hAnsi="Garamond"/>
          <w:sz w:val="22"/>
          <w:szCs w:val="22"/>
        </w:rPr>
        <w:t>level direction de</w:t>
      </w:r>
      <w:r w:rsidR="00AD16A8" w:rsidRPr="00124B10">
        <w:rPr>
          <w:rFonts w:ascii="Garamond" w:hAnsi="Garamond"/>
          <w:sz w:val="22"/>
          <w:szCs w:val="22"/>
        </w:rPr>
        <w:t>creas</w:t>
      </w:r>
      <w:r w:rsidR="0029701B" w:rsidRPr="00124B10">
        <w:rPr>
          <w:rFonts w:ascii="Garamond" w:hAnsi="Garamond"/>
          <w:sz w:val="22"/>
          <w:szCs w:val="22"/>
        </w:rPr>
        <w:t>ing</w:t>
      </w:r>
      <w:r w:rsidR="00AD16A8" w:rsidRPr="00124B10">
        <w:rPr>
          <w:rFonts w:ascii="Garamond" w:hAnsi="Garamond"/>
          <w:sz w:val="22"/>
          <w:szCs w:val="22"/>
        </w:rPr>
        <w:t>,</w:t>
      </w:r>
      <w:r w:rsidR="00AF2973" w:rsidRPr="00124B10">
        <w:rPr>
          <w:rFonts w:ascii="Garamond" w:hAnsi="Garamond"/>
          <w:sz w:val="22"/>
          <w:szCs w:val="22"/>
        </w:rPr>
        <w:t xml:space="preserve"> but useful communications and collaboration </w:t>
      </w:r>
      <w:r w:rsidR="0029701B" w:rsidRPr="00124B10">
        <w:rPr>
          <w:rFonts w:ascii="Garamond" w:hAnsi="Garamond"/>
          <w:sz w:val="22"/>
          <w:szCs w:val="22"/>
        </w:rPr>
        <w:t>increasing</w:t>
      </w:r>
    </w:p>
    <w:p w14:paraId="4CCDDECE" w14:textId="77777777" w:rsidR="00AF2973" w:rsidRPr="00124B10" w:rsidRDefault="0029701B" w:rsidP="00856349">
      <w:pPr>
        <w:spacing w:after="120" w:line="300" w:lineRule="auto"/>
        <w:jc w:val="left"/>
        <w:rPr>
          <w:rFonts w:ascii="Garamond" w:hAnsi="Garamond"/>
          <w:b/>
          <w:sz w:val="22"/>
          <w:szCs w:val="22"/>
        </w:rPr>
      </w:pPr>
      <w:r w:rsidRPr="00124B10">
        <w:rPr>
          <w:rFonts w:ascii="Garamond" w:hAnsi="Garamond"/>
          <w:b/>
          <w:sz w:val="22"/>
          <w:szCs w:val="22"/>
        </w:rPr>
        <w:t>The results at the sub</w:t>
      </w:r>
      <w:r w:rsidR="00AF2973" w:rsidRPr="00124B10">
        <w:rPr>
          <w:rFonts w:ascii="Garamond" w:hAnsi="Garamond"/>
          <w:b/>
          <w:sz w:val="22"/>
          <w:szCs w:val="22"/>
        </w:rPr>
        <w:t>national levels produced by decentralization were not always as expected:</w:t>
      </w:r>
    </w:p>
    <w:p w14:paraId="10E9705C" w14:textId="77777777" w:rsidR="00736BCF" w:rsidRPr="00124B10" w:rsidRDefault="00AF2973" w:rsidP="00856349">
      <w:pPr>
        <w:pStyle w:val="ListParagraph"/>
        <w:numPr>
          <w:ilvl w:val="0"/>
          <w:numId w:val="3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Often</w:t>
      </w:r>
      <w:r w:rsidR="0029701B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the allocation of increased authority and responsibility was not accompanied by resources, particularly resources for discretionary use.</w:t>
      </w:r>
    </w:p>
    <w:p w14:paraId="668845FF" w14:textId="77777777" w:rsidR="00AF2973" w:rsidRPr="00124B10" w:rsidRDefault="00736BCF" w:rsidP="00856349">
      <w:pPr>
        <w:pStyle w:val="ListParagraph"/>
        <w:numPr>
          <w:ilvl w:val="0"/>
          <w:numId w:val="3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 xml:space="preserve">More resources were expected to be forthcoming from provincial and district administrations. </w:t>
      </w:r>
    </w:p>
    <w:p w14:paraId="14F239E8" w14:textId="77777777" w:rsidR="00AF2973" w:rsidRPr="00124B10" w:rsidRDefault="00AF2973" w:rsidP="00856349">
      <w:pPr>
        <w:pStyle w:val="ListParagraph"/>
        <w:numPr>
          <w:ilvl w:val="0"/>
          <w:numId w:val="3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lastRenderedPageBreak/>
        <w:t>Authority and</w:t>
      </w:r>
      <w:r w:rsidR="0029701B" w:rsidRPr="00124B10">
        <w:rPr>
          <w:rFonts w:ascii="Garamond" w:hAnsi="Garamond"/>
          <w:sz w:val="22"/>
          <w:szCs w:val="22"/>
        </w:rPr>
        <w:t xml:space="preserve"> opportunity for local decision </w:t>
      </w:r>
      <w:r w:rsidRPr="00124B10">
        <w:rPr>
          <w:rFonts w:ascii="Garamond" w:hAnsi="Garamond"/>
          <w:sz w:val="22"/>
          <w:szCs w:val="22"/>
        </w:rPr>
        <w:t>making was less than expected, while the responsibility for producing results increased.</w:t>
      </w:r>
    </w:p>
    <w:p w14:paraId="2BA42CD5" w14:textId="77777777" w:rsidR="00AF2973" w:rsidRPr="00124B10" w:rsidRDefault="00AF2973" w:rsidP="00856349">
      <w:pPr>
        <w:pStyle w:val="ListParagraph"/>
        <w:numPr>
          <w:ilvl w:val="0"/>
          <w:numId w:val="3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The planning, management</w:t>
      </w:r>
      <w:r w:rsidR="0029701B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and monit</w:t>
      </w:r>
      <w:r w:rsidR="0029701B" w:rsidRPr="00124B10">
        <w:rPr>
          <w:rFonts w:ascii="Garamond" w:hAnsi="Garamond"/>
          <w:sz w:val="22"/>
          <w:szCs w:val="22"/>
        </w:rPr>
        <w:t>oring workload increased at sub</w:t>
      </w:r>
      <w:r w:rsidRPr="00124B10">
        <w:rPr>
          <w:rFonts w:ascii="Garamond" w:hAnsi="Garamond"/>
          <w:sz w:val="22"/>
          <w:szCs w:val="22"/>
        </w:rPr>
        <w:t>national levels, but the supply of appropriate staff did not.</w:t>
      </w:r>
    </w:p>
    <w:p w14:paraId="5458C005" w14:textId="77777777" w:rsidR="00856349" w:rsidRDefault="00AF2973" w:rsidP="00856349">
      <w:pPr>
        <w:pStyle w:val="ListParagraph"/>
        <w:numPr>
          <w:ilvl w:val="0"/>
          <w:numId w:val="3"/>
        </w:numPr>
        <w:spacing w:after="12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124B10">
        <w:rPr>
          <w:rFonts w:ascii="Garamond" w:hAnsi="Garamond"/>
          <w:sz w:val="22"/>
          <w:szCs w:val="22"/>
        </w:rPr>
        <w:t>In some cases</w:t>
      </w:r>
      <w:r w:rsidR="0029701B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decentralization in combination with the further development of reporting requirements and technology increased the effort and time to be devoted to data capture, analysis</w:t>
      </w:r>
      <w:r w:rsidR="0029701B" w:rsidRPr="00124B10">
        <w:rPr>
          <w:rFonts w:ascii="Garamond" w:hAnsi="Garamond"/>
          <w:sz w:val="22"/>
          <w:szCs w:val="22"/>
        </w:rPr>
        <w:t>,</w:t>
      </w:r>
      <w:r w:rsidRPr="00124B10">
        <w:rPr>
          <w:rFonts w:ascii="Garamond" w:hAnsi="Garamond"/>
          <w:sz w:val="22"/>
          <w:szCs w:val="22"/>
        </w:rPr>
        <w:t xml:space="preserve"> and reporting without the needed staff capacity.</w:t>
      </w:r>
    </w:p>
    <w:p w14:paraId="6BCB5515" w14:textId="77777777" w:rsidR="00856349" w:rsidRPr="00856349" w:rsidRDefault="00856349" w:rsidP="00856349"/>
    <w:p w14:paraId="728BFB97" w14:textId="77777777" w:rsidR="00856349" w:rsidRPr="00856349" w:rsidRDefault="00856349" w:rsidP="00856349"/>
    <w:p w14:paraId="7F3FBE85" w14:textId="77777777" w:rsidR="00856349" w:rsidRPr="00856349" w:rsidRDefault="00856349" w:rsidP="00856349"/>
    <w:p w14:paraId="4B7CFF75" w14:textId="77777777" w:rsidR="00856349" w:rsidRPr="00856349" w:rsidRDefault="00856349" w:rsidP="00856349"/>
    <w:p w14:paraId="1561112F" w14:textId="77777777" w:rsidR="00856349" w:rsidRPr="00856349" w:rsidRDefault="00856349" w:rsidP="00856349"/>
    <w:p w14:paraId="47DCFE35" w14:textId="77777777" w:rsidR="00856349" w:rsidRPr="00856349" w:rsidRDefault="00856349" w:rsidP="00856349"/>
    <w:p w14:paraId="041111B2" w14:textId="77777777" w:rsidR="00856349" w:rsidRPr="00856349" w:rsidRDefault="00856349" w:rsidP="00856349"/>
    <w:p w14:paraId="1DE0965C" w14:textId="77777777" w:rsidR="00856349" w:rsidRPr="00856349" w:rsidRDefault="00856349" w:rsidP="00856349"/>
    <w:p w14:paraId="4BF4FFD8" w14:textId="77777777" w:rsidR="00856349" w:rsidRPr="00856349" w:rsidRDefault="00856349" w:rsidP="00856349"/>
    <w:p w14:paraId="1107D2B2" w14:textId="77777777" w:rsidR="00856349" w:rsidRPr="00856349" w:rsidRDefault="00856349" w:rsidP="00856349"/>
    <w:p w14:paraId="742AA63E" w14:textId="77777777" w:rsidR="00856349" w:rsidRPr="00856349" w:rsidRDefault="00856349" w:rsidP="00856349"/>
    <w:p w14:paraId="23387F7A" w14:textId="77777777" w:rsidR="00856349" w:rsidRPr="00856349" w:rsidRDefault="00856349" w:rsidP="00856349"/>
    <w:p w14:paraId="497F34F9" w14:textId="77777777" w:rsidR="00856349" w:rsidRPr="00856349" w:rsidRDefault="00856349" w:rsidP="00856349"/>
    <w:p w14:paraId="30202381" w14:textId="77777777" w:rsidR="00856349" w:rsidRPr="00856349" w:rsidRDefault="00856349" w:rsidP="00856349"/>
    <w:p w14:paraId="5BFEC6AE" w14:textId="77777777" w:rsidR="00856349" w:rsidRPr="00856349" w:rsidRDefault="00856349" w:rsidP="00856349"/>
    <w:p w14:paraId="5818F19A" w14:textId="77777777" w:rsidR="00856349" w:rsidRPr="00856349" w:rsidRDefault="00856349" w:rsidP="00856349"/>
    <w:p w14:paraId="4FF98C77" w14:textId="77777777" w:rsidR="00856349" w:rsidRPr="00856349" w:rsidRDefault="00856349" w:rsidP="00856349"/>
    <w:p w14:paraId="338EA42C" w14:textId="77777777" w:rsidR="00856349" w:rsidRPr="00856349" w:rsidRDefault="00856349" w:rsidP="00856349"/>
    <w:p w14:paraId="023CF7E4" w14:textId="77777777" w:rsidR="00856349" w:rsidRPr="00856349" w:rsidRDefault="00856349" w:rsidP="00856349"/>
    <w:p w14:paraId="77FE9960" w14:textId="77777777" w:rsidR="00856349" w:rsidRPr="00856349" w:rsidRDefault="00856349" w:rsidP="00856349"/>
    <w:p w14:paraId="7D4EF6E1" w14:textId="77777777" w:rsidR="00856349" w:rsidRPr="00856349" w:rsidRDefault="00856349" w:rsidP="00856349"/>
    <w:p w14:paraId="59620202" w14:textId="77777777" w:rsidR="00856349" w:rsidRPr="00856349" w:rsidRDefault="00856349" w:rsidP="00856349"/>
    <w:p w14:paraId="1FF3F2B3" w14:textId="77777777" w:rsidR="00856349" w:rsidRPr="00856349" w:rsidRDefault="00856349" w:rsidP="00856349"/>
    <w:p w14:paraId="6CB28D0C" w14:textId="77777777" w:rsidR="00856349" w:rsidRPr="00856349" w:rsidRDefault="00856349" w:rsidP="00856349"/>
    <w:p w14:paraId="18DA0544" w14:textId="77777777" w:rsidR="00856349" w:rsidRPr="00856349" w:rsidRDefault="00856349" w:rsidP="00856349"/>
    <w:p w14:paraId="7F08B793" w14:textId="77777777" w:rsidR="00856349" w:rsidRDefault="00856349" w:rsidP="00856349"/>
    <w:p w14:paraId="0C77733F" w14:textId="3314AE80" w:rsidR="00856349" w:rsidRPr="00856349" w:rsidRDefault="00856349" w:rsidP="00856349"/>
    <w:p w14:paraId="5D8D00A4" w14:textId="3B7728AF" w:rsidR="00AF2973" w:rsidRPr="00856349" w:rsidRDefault="0047126E" w:rsidP="00856349">
      <w:pPr>
        <w:tabs>
          <w:tab w:val="left" w:pos="340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4BC6F6A" wp14:editId="7B73607D">
            <wp:simplePos x="0" y="0"/>
            <wp:positionH relativeFrom="column">
              <wp:posOffset>51435</wp:posOffset>
            </wp:positionH>
            <wp:positionV relativeFrom="paragraph">
              <wp:posOffset>1494155</wp:posOffset>
            </wp:positionV>
            <wp:extent cx="5732145" cy="16859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349">
        <w:tab/>
      </w:r>
    </w:p>
    <w:sectPr w:rsidR="00AF2973" w:rsidRPr="00856349" w:rsidSect="008563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5360" w14:textId="77777777" w:rsidR="007A4113" w:rsidRDefault="007A4113" w:rsidP="00AF2973">
      <w:r>
        <w:separator/>
      </w:r>
    </w:p>
  </w:endnote>
  <w:endnote w:type="continuationSeparator" w:id="0">
    <w:p w14:paraId="5552B9CF" w14:textId="77777777" w:rsidR="007A4113" w:rsidRDefault="007A4113" w:rsidP="00AF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15ED" w14:textId="77777777" w:rsidR="007A4113" w:rsidRDefault="007A4113" w:rsidP="00AF2973">
      <w:r>
        <w:separator/>
      </w:r>
    </w:p>
  </w:footnote>
  <w:footnote w:type="continuationSeparator" w:id="0">
    <w:p w14:paraId="5CDB7989" w14:textId="77777777" w:rsidR="007A4113" w:rsidRDefault="007A4113" w:rsidP="00AF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0D9E"/>
    <w:multiLevelType w:val="hybridMultilevel"/>
    <w:tmpl w:val="2D4A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64A"/>
    <w:multiLevelType w:val="hybridMultilevel"/>
    <w:tmpl w:val="5B5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0389A"/>
    <w:multiLevelType w:val="hybridMultilevel"/>
    <w:tmpl w:val="02A2524E"/>
    <w:lvl w:ilvl="0" w:tplc="6A1E9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14"/>
    <w:rsid w:val="00120F59"/>
    <w:rsid w:val="00124B10"/>
    <w:rsid w:val="00251725"/>
    <w:rsid w:val="002804F2"/>
    <w:rsid w:val="0029701B"/>
    <w:rsid w:val="002E2C5E"/>
    <w:rsid w:val="00306710"/>
    <w:rsid w:val="003C7964"/>
    <w:rsid w:val="003F63E7"/>
    <w:rsid w:val="0047126E"/>
    <w:rsid w:val="00493568"/>
    <w:rsid w:val="004D22CA"/>
    <w:rsid w:val="00504E22"/>
    <w:rsid w:val="005109AE"/>
    <w:rsid w:val="00611C96"/>
    <w:rsid w:val="0066674C"/>
    <w:rsid w:val="00724CF6"/>
    <w:rsid w:val="00736BCF"/>
    <w:rsid w:val="007A4113"/>
    <w:rsid w:val="007F7B9A"/>
    <w:rsid w:val="00804325"/>
    <w:rsid w:val="00830843"/>
    <w:rsid w:val="00856349"/>
    <w:rsid w:val="00857E3A"/>
    <w:rsid w:val="00A30514"/>
    <w:rsid w:val="00AB6477"/>
    <w:rsid w:val="00AD16A8"/>
    <w:rsid w:val="00AF2973"/>
    <w:rsid w:val="00B018CE"/>
    <w:rsid w:val="00B224E3"/>
    <w:rsid w:val="00B347D9"/>
    <w:rsid w:val="00BA5439"/>
    <w:rsid w:val="00CC170D"/>
    <w:rsid w:val="00CF4E16"/>
    <w:rsid w:val="00D73DCE"/>
    <w:rsid w:val="00DA7814"/>
    <w:rsid w:val="00DD59A3"/>
    <w:rsid w:val="00F2442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FC0A"/>
  <w15:docId w15:val="{F4AD27FE-6D42-4F98-AFA0-87A7301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9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973"/>
  </w:style>
  <w:style w:type="paragraph" w:styleId="Footer">
    <w:name w:val="footer"/>
    <w:basedOn w:val="Normal"/>
    <w:link w:val="FooterChar"/>
    <w:uiPriority w:val="99"/>
    <w:unhideWhenUsed/>
    <w:rsid w:val="00AF2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973"/>
  </w:style>
  <w:style w:type="paragraph" w:styleId="BalloonText">
    <w:name w:val="Balloon Text"/>
    <w:basedOn w:val="Normal"/>
    <w:link w:val="BalloonTextChar"/>
    <w:uiPriority w:val="99"/>
    <w:semiHidden/>
    <w:unhideWhenUsed/>
    <w:rsid w:val="00AF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6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B2504-BD73-4168-B08A-3F868E202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B00E9-3ABC-48E0-BD09-95C64A73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F8A08-EC55-4F0E-B336-384E5B911C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2017-02-08T13:29:00Z</dcterms:created>
  <dcterms:modified xsi:type="dcterms:W3CDTF">2017-02-08T13:29:00Z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