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998C84" w14:textId="38ED13CA" w:rsidR="00CE7C80" w:rsidRPr="00595265" w:rsidRDefault="00595265" w:rsidP="00595265">
      <w:pPr>
        <w:spacing w:after="240" w:line="30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3E80" wp14:editId="259EDA29">
                <wp:simplePos x="0" y="0"/>
                <wp:positionH relativeFrom="column">
                  <wp:posOffset>-876300</wp:posOffset>
                </wp:positionH>
                <wp:positionV relativeFrom="paragraph">
                  <wp:posOffset>-468630</wp:posOffset>
                </wp:positionV>
                <wp:extent cx="1251585" cy="4546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9CC3" w14:textId="61165C5E" w:rsidR="00595265" w:rsidRPr="00595265" w:rsidRDefault="0059526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59526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1723E8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-69pt;margin-top:-36.85pt;width:98.5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" filled="f" stroked="f">
                <v:textbox>
                  <w:txbxContent>
                    <w:p w14:paraId="5D589CC3" w14:textId="61165C5E" w:rsidR="00595265" w:rsidRPr="00595265" w:rsidRDefault="00595265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59526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F87A5" wp14:editId="0B42F400">
                <wp:simplePos x="0" y="0"/>
                <wp:positionH relativeFrom="margin">
                  <wp:posOffset>1981835</wp:posOffset>
                </wp:positionH>
                <wp:positionV relativeFrom="margin">
                  <wp:posOffset>-368935</wp:posOffset>
                </wp:positionV>
                <wp:extent cx="3727450" cy="54165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88BC" w14:textId="77777777" w:rsidR="00595265" w:rsidRPr="00390609" w:rsidRDefault="00595265" w:rsidP="00595265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1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BF87A5" id="Text_x0020_Box_x0020_7" o:spid="_x0000_s1027" type="#_x0000_t202" style="position:absolute;margin-left:156.05pt;margin-top:-29pt;width:293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" filled="f" stroked="f" strokeweight=".5pt">
                <v:path arrowok="t"/>
                <v:textbox>
                  <w:txbxContent>
                    <w:p w14:paraId="7A1688BC" w14:textId="77777777" w:rsidR="00595265" w:rsidRPr="00390609" w:rsidRDefault="00595265" w:rsidP="00595265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2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220948D7" wp14:editId="2030B198">
            <wp:simplePos x="0" y="0"/>
            <wp:positionH relativeFrom="column">
              <wp:posOffset>-914400</wp:posOffset>
            </wp:positionH>
            <wp:positionV relativeFrom="paragraph">
              <wp:posOffset>-811530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049" cy="12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C58">
        <w:rPr>
          <w:rFonts w:ascii="Century Gothic" w:eastAsia="Times New Roman" w:hAnsi="Century Gothic"/>
          <w:b/>
          <w:color w:val="1E185F"/>
          <w:sz w:val="56"/>
          <w:szCs w:val="56"/>
        </w:rPr>
        <w:br/>
      </w:r>
      <w:r w:rsidR="00CE7C80" w:rsidRPr="00595265">
        <w:rPr>
          <w:rFonts w:ascii="Century Gothic" w:eastAsia="Times New Roman" w:hAnsi="Century Gothic"/>
          <w:b/>
          <w:caps/>
          <w:color w:val="000000" w:themeColor="text1"/>
          <w:sz w:val="36"/>
          <w:szCs w:val="36"/>
        </w:rPr>
        <w:t>Definitions of Governance in Health</w:t>
      </w:r>
    </w:p>
    <w:p w14:paraId="7FB07985" w14:textId="486E31C0" w:rsidR="00A7058F" w:rsidRPr="00782702" w:rsidRDefault="00F65556" w:rsidP="00595265">
      <w:pPr>
        <w:spacing w:line="300" w:lineRule="auto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t xml:space="preserve">Governance in the Health Sector </w:t>
      </w:r>
      <w:r w:rsidR="005B3919" w:rsidRPr="00F65556">
        <w:rPr>
          <w:rFonts w:ascii="Century Gothic" w:eastAsia="Times New Roman" w:hAnsi="Century Gothic"/>
        </w:rPr>
        <w:t>World Health Organization (</w:t>
      </w:r>
      <w:r w:rsidR="00A7058F" w:rsidRPr="00F65556">
        <w:rPr>
          <w:rFonts w:ascii="Century Gothic" w:eastAsia="Times New Roman" w:hAnsi="Century Gothic"/>
        </w:rPr>
        <w:t>WHO</w:t>
      </w:r>
      <w:r w:rsidR="005B3919" w:rsidRPr="00F65556">
        <w:rPr>
          <w:rFonts w:ascii="Century Gothic" w:eastAsia="Times New Roman" w:hAnsi="Century Gothic"/>
        </w:rPr>
        <w:t>)</w:t>
      </w:r>
      <w:r w:rsidR="001724B7">
        <w:rPr>
          <w:rFonts w:ascii="Century Gothic" w:eastAsia="Times New Roman" w:hAnsi="Century Gothic"/>
          <w:vertAlign w:val="superscript"/>
        </w:rPr>
        <w:t>1</w:t>
      </w:r>
      <w:r w:rsidR="00A7058F" w:rsidRPr="00782702">
        <w:rPr>
          <w:rFonts w:ascii="Century Gothic" w:eastAsia="Times New Roman" w:hAnsi="Century Gothic"/>
          <w:b/>
        </w:rPr>
        <w:t xml:space="preserve"> </w:t>
      </w:r>
    </w:p>
    <w:p w14:paraId="3032CDCA" w14:textId="2B923F15" w:rsidR="00A7058F" w:rsidRPr="00782702" w:rsidRDefault="00A7058F" w:rsidP="00595265">
      <w:pPr>
        <w:spacing w:after="192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 xml:space="preserve">Governance in the health sector refers to a wide range of steering and rule-making related functions carried out by governments/decision makers as they seek to achieve national health policy objectives that are conducive to universal health coverage. Governance is a political process that involves balancing competing influences and demands. It includes: </w:t>
      </w:r>
    </w:p>
    <w:p w14:paraId="280D9C92" w14:textId="77777777" w:rsidR="00A7058F" w:rsidRPr="00782702" w:rsidRDefault="00A7058F" w:rsidP="00595265">
      <w:pPr>
        <w:numPr>
          <w:ilvl w:val="0"/>
          <w:numId w:val="1"/>
        </w:numPr>
        <w:spacing w:after="80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 xml:space="preserve">maintaining the strategic direction of policy development and implementation; </w:t>
      </w:r>
    </w:p>
    <w:p w14:paraId="2D3C4CE1" w14:textId="77777777" w:rsidR="008201A9" w:rsidRPr="00782702" w:rsidRDefault="00A7058F" w:rsidP="00595265">
      <w:pPr>
        <w:numPr>
          <w:ilvl w:val="0"/>
          <w:numId w:val="1"/>
        </w:numPr>
        <w:spacing w:after="80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 xml:space="preserve">detecting and correcting undesirable trends and distortions; </w:t>
      </w:r>
    </w:p>
    <w:p w14:paraId="7D5E2448" w14:textId="0467D477" w:rsidR="00A7058F" w:rsidRPr="00782702" w:rsidRDefault="00A7058F" w:rsidP="00595265">
      <w:pPr>
        <w:numPr>
          <w:ilvl w:val="0"/>
          <w:numId w:val="1"/>
        </w:numPr>
        <w:spacing w:after="80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>articulating the case for health in national development;</w:t>
      </w:r>
    </w:p>
    <w:p w14:paraId="1FA2E87A" w14:textId="53865347" w:rsidR="00A7058F" w:rsidRPr="00782702" w:rsidRDefault="00A7058F" w:rsidP="00595265">
      <w:pPr>
        <w:numPr>
          <w:ilvl w:val="0"/>
          <w:numId w:val="1"/>
        </w:numPr>
        <w:spacing w:after="80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>regulating the behavior of a wide range of actors - from healthcare financiers to healthcare providers; and</w:t>
      </w:r>
    </w:p>
    <w:p w14:paraId="47BD4FC9" w14:textId="416C4AC3" w:rsidR="00A7058F" w:rsidRPr="00782702" w:rsidRDefault="00A7058F" w:rsidP="00595265">
      <w:pPr>
        <w:numPr>
          <w:ilvl w:val="0"/>
          <w:numId w:val="1"/>
        </w:numPr>
        <w:spacing w:after="80" w:line="300" w:lineRule="auto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eastAsia="Times New Roman" w:hAnsi="Garamond"/>
          <w:sz w:val="22"/>
          <w:szCs w:val="22"/>
        </w:rPr>
        <w:t xml:space="preserve">establishing transparent and effective accountability </w:t>
      </w:r>
    </w:p>
    <w:p w14:paraId="21F4FDAE" w14:textId="03968093" w:rsidR="00F65556" w:rsidRDefault="00F65556" w:rsidP="00595265">
      <w:pPr>
        <w:spacing w:line="300" w:lineRule="auto"/>
        <w:rPr>
          <w:rFonts w:ascii="Century Gothic" w:eastAsia="Times New Roman" w:hAnsi="Century Gothic"/>
          <w:b/>
        </w:rPr>
      </w:pPr>
    </w:p>
    <w:p w14:paraId="44AAA617" w14:textId="550A682B" w:rsidR="00B53E9F" w:rsidRPr="00782702" w:rsidRDefault="00F6759B" w:rsidP="00595265">
      <w:pPr>
        <w:spacing w:line="300" w:lineRule="auto"/>
        <w:rPr>
          <w:rFonts w:ascii="Century Gothic" w:eastAsia="Times New Roman" w:hAnsi="Century Gothic"/>
          <w:b/>
        </w:rPr>
      </w:pPr>
      <w:r w:rsidRPr="00782702">
        <w:rPr>
          <w:rFonts w:ascii="Century Gothic" w:eastAsia="Times New Roman" w:hAnsi="Century Gothic"/>
          <w:b/>
        </w:rPr>
        <w:t>WHO Glossary</w:t>
      </w:r>
      <w:r w:rsidR="00CE7906" w:rsidRPr="00782702">
        <w:rPr>
          <w:rStyle w:val="FootnoteReference"/>
          <w:rFonts w:ascii="Century Gothic" w:eastAsia="Times New Roman" w:hAnsi="Century Gothic"/>
        </w:rPr>
        <w:footnoteReference w:id="1"/>
      </w:r>
    </w:p>
    <w:p w14:paraId="61B2928D" w14:textId="747284BC" w:rsidR="00B53E9F" w:rsidRPr="00782702" w:rsidRDefault="00F6759B" w:rsidP="00595265">
      <w:pPr>
        <w:spacing w:after="120" w:line="300" w:lineRule="auto"/>
        <w:rPr>
          <w:rFonts w:ascii="Century Gothic" w:hAnsi="Century Gothic"/>
        </w:rPr>
      </w:pPr>
      <w:r w:rsidRPr="00782702">
        <w:rPr>
          <w:rFonts w:ascii="Century Gothic" w:hAnsi="Century Gothic"/>
          <w:bCs/>
        </w:rPr>
        <w:t>Governance</w:t>
      </w:r>
    </w:p>
    <w:p w14:paraId="1AAD0F08" w14:textId="568FD093" w:rsidR="00B53E9F" w:rsidRPr="00782702" w:rsidRDefault="00F6759B" w:rsidP="00595265">
      <w:pPr>
        <w:pStyle w:val="ListParagraph"/>
        <w:numPr>
          <w:ilvl w:val="0"/>
          <w:numId w:val="2"/>
        </w:numPr>
        <w:spacing w:after="120" w:line="300" w:lineRule="auto"/>
        <w:ind w:left="1077"/>
        <w:contextualSpacing w:val="0"/>
        <w:rPr>
          <w:rFonts w:ascii="Garamond" w:hAnsi="Garamond"/>
          <w:sz w:val="22"/>
          <w:szCs w:val="22"/>
          <w:vertAlign w:val="superscript"/>
        </w:rPr>
      </w:pPr>
      <w:r w:rsidRPr="00782702">
        <w:rPr>
          <w:rFonts w:ascii="Garamond" w:hAnsi="Garamond"/>
          <w:sz w:val="22"/>
          <w:szCs w:val="22"/>
        </w:rPr>
        <w:t>the exercise of political, economic and administrative authority in the management of a country's affairs at all levels, comprising the complex mechanisms, processes, relationships and institutions through which citizens and groups articulate their interests, exercise their rights and obligations and mediate their differences.</w:t>
      </w:r>
      <w:r w:rsidRPr="00782702">
        <w:rPr>
          <w:rFonts w:ascii="Garamond" w:hAnsi="Garamond"/>
          <w:sz w:val="22"/>
          <w:szCs w:val="22"/>
          <w:vertAlign w:val="superscript"/>
        </w:rPr>
        <w:t xml:space="preserve"> </w:t>
      </w:r>
    </w:p>
    <w:p w14:paraId="7C265748" w14:textId="296445FA" w:rsidR="00B53E9F" w:rsidRPr="00782702" w:rsidRDefault="00F6759B" w:rsidP="00595265">
      <w:pPr>
        <w:pStyle w:val="ListParagraph"/>
        <w:numPr>
          <w:ilvl w:val="0"/>
          <w:numId w:val="2"/>
        </w:numPr>
        <w:spacing w:after="120" w:line="300" w:lineRule="auto"/>
        <w:ind w:left="1077"/>
        <w:contextualSpacing w:val="0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the traditions and institutions by which authority in a country is exercised for the common good, including the processes by which those in authority are selected, monitored and replaced; the capacity of the government to effectively manage its resources and implement sound policies; and the respect of citizens and the state for the institutions that govern economic and social interactions among them; </w:t>
      </w:r>
    </w:p>
    <w:p w14:paraId="65EF59E4" w14:textId="23A94B42" w:rsidR="00F6759B" w:rsidRPr="00782702" w:rsidRDefault="00F6759B" w:rsidP="00595265">
      <w:pPr>
        <w:pStyle w:val="ListParagraph"/>
        <w:numPr>
          <w:ilvl w:val="0"/>
          <w:numId w:val="2"/>
        </w:numPr>
        <w:spacing w:after="120" w:line="300" w:lineRule="auto"/>
        <w:ind w:left="1077"/>
        <w:contextualSpacing w:val="0"/>
        <w:rPr>
          <w:rFonts w:ascii="Garamond" w:eastAsia="Times New Roman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>the process of creating an organizational vision and mission</w:t>
      </w:r>
      <w:r w:rsidR="00873983">
        <w:rPr>
          <w:rFonts w:ascii="Garamond" w:hAnsi="Garamond"/>
          <w:sz w:val="22"/>
          <w:szCs w:val="22"/>
        </w:rPr>
        <w:t>—</w:t>
      </w:r>
      <w:r w:rsidRPr="00782702">
        <w:rPr>
          <w:rFonts w:ascii="Garamond" w:hAnsi="Garamond"/>
          <w:sz w:val="22"/>
          <w:szCs w:val="22"/>
        </w:rPr>
        <w:t xml:space="preserve"> what it will be and what it will do </w:t>
      </w:r>
      <w:r w:rsidR="00873983">
        <w:rPr>
          <w:rFonts w:ascii="Garamond" w:hAnsi="Garamond"/>
          <w:sz w:val="22"/>
          <w:szCs w:val="22"/>
        </w:rPr>
        <w:t>—</w:t>
      </w:r>
      <w:r w:rsidRPr="00782702">
        <w:rPr>
          <w:rFonts w:ascii="Garamond" w:hAnsi="Garamond"/>
          <w:sz w:val="22"/>
          <w:szCs w:val="22"/>
        </w:rPr>
        <w:t xml:space="preserve">in addition to defining the goals and objectives that should be met to achieve the vision and mission; of articulating the organization, its owners and the policies that derive from these values </w:t>
      </w:r>
      <w:r w:rsidR="00873983">
        <w:rPr>
          <w:rFonts w:ascii="Garamond" w:hAnsi="Garamond"/>
          <w:sz w:val="22"/>
          <w:szCs w:val="22"/>
        </w:rPr>
        <w:t>—</w:t>
      </w:r>
      <w:r w:rsidRPr="00782702">
        <w:rPr>
          <w:rFonts w:ascii="Garamond" w:hAnsi="Garamond"/>
          <w:sz w:val="22"/>
          <w:szCs w:val="22"/>
        </w:rPr>
        <w:t xml:space="preserve">policies concerning the options that its members should have in order to achieve the desired outcomes; and adopting the management necessary for achieving those results and a </w:t>
      </w:r>
      <w:r w:rsidR="00873983">
        <w:rPr>
          <w:rFonts w:ascii="Garamond" w:hAnsi="Garamond"/>
          <w:sz w:val="22"/>
          <w:szCs w:val="22"/>
        </w:rPr>
        <w:t>p</w:t>
      </w:r>
      <w:r w:rsidRPr="00782702">
        <w:rPr>
          <w:rFonts w:ascii="Garamond" w:hAnsi="Garamond"/>
          <w:sz w:val="22"/>
          <w:szCs w:val="22"/>
        </w:rPr>
        <w:t>erformance evaluation of the managers and the organization as a whole.</w:t>
      </w:r>
    </w:p>
    <w:p w14:paraId="16CA896C" w14:textId="77777777" w:rsidR="00595265" w:rsidRDefault="00595265" w:rsidP="00595265">
      <w:pPr>
        <w:spacing w:line="300" w:lineRule="auto"/>
        <w:rPr>
          <w:rFonts w:ascii="Garamond" w:hAnsi="Garamond"/>
          <w:b/>
          <w:sz w:val="22"/>
          <w:szCs w:val="22"/>
        </w:rPr>
      </w:pPr>
    </w:p>
    <w:p w14:paraId="2A588008" w14:textId="667AF9B5" w:rsidR="00B80BF8" w:rsidRPr="00595265" w:rsidRDefault="00B80BF8" w:rsidP="00595265">
      <w:pPr>
        <w:spacing w:line="300" w:lineRule="auto"/>
        <w:rPr>
          <w:rFonts w:ascii="Garamond" w:hAnsi="Garamond"/>
          <w:b/>
          <w:sz w:val="22"/>
          <w:szCs w:val="22"/>
        </w:rPr>
      </w:pPr>
      <w:r w:rsidRPr="00782702">
        <w:rPr>
          <w:rFonts w:ascii="Garamond" w:hAnsi="Garamond"/>
          <w:b/>
          <w:sz w:val="22"/>
          <w:szCs w:val="22"/>
        </w:rPr>
        <w:t xml:space="preserve">Governance in </w:t>
      </w:r>
      <w:r w:rsidR="00F65556">
        <w:rPr>
          <w:rFonts w:ascii="Garamond" w:hAnsi="Garamond"/>
          <w:b/>
          <w:sz w:val="22"/>
          <w:szCs w:val="22"/>
        </w:rPr>
        <w:t>h</w:t>
      </w:r>
      <w:r w:rsidRPr="00782702">
        <w:rPr>
          <w:rFonts w:ascii="Garamond" w:hAnsi="Garamond"/>
          <w:b/>
          <w:sz w:val="22"/>
          <w:szCs w:val="22"/>
        </w:rPr>
        <w:t>ealth</w:t>
      </w:r>
      <w:r w:rsidR="005B3919">
        <w:rPr>
          <w:sz w:val="22"/>
          <w:szCs w:val="22"/>
        </w:rPr>
        <w:t xml:space="preserve">: </w:t>
      </w:r>
      <w:r w:rsidR="005B3919" w:rsidRPr="005B3919">
        <w:rPr>
          <w:rFonts w:ascii="Garamond" w:hAnsi="Garamond"/>
          <w:sz w:val="22"/>
          <w:szCs w:val="22"/>
        </w:rPr>
        <w:t>F</w:t>
      </w:r>
      <w:r w:rsidR="005B3919" w:rsidRPr="00782702">
        <w:rPr>
          <w:rFonts w:ascii="Garamond" w:hAnsi="Garamond"/>
          <w:sz w:val="22"/>
          <w:szCs w:val="22"/>
        </w:rPr>
        <w:t xml:space="preserve">irst </w:t>
      </w:r>
      <w:r w:rsidRPr="00782702">
        <w:rPr>
          <w:rFonts w:ascii="Garamond" w:hAnsi="Garamond"/>
          <w:sz w:val="22"/>
          <w:szCs w:val="22"/>
        </w:rPr>
        <w:t>framed by WHO as stewardship, defined as “the careful and responsible management of the well-being of the population.” This has evolved through various stages as stewardship, leadership</w:t>
      </w:r>
      <w:r w:rsidR="005B3919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and/or governance. Includes: health policy formulation (defining the vision and direction of health system), regulation (setting fair rules of the game with a level playing field)</w:t>
      </w:r>
      <w:r w:rsidR="005B3919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and </w:t>
      </w:r>
      <w:r w:rsidRPr="00782702">
        <w:rPr>
          <w:rFonts w:ascii="Garamond" w:hAnsi="Garamond"/>
          <w:sz w:val="22"/>
          <w:szCs w:val="22"/>
        </w:rPr>
        <w:lastRenderedPageBreak/>
        <w:t>intelligence (assessing performance and sharing information. Th</w:t>
      </w:r>
      <w:r w:rsidR="005B3919">
        <w:rPr>
          <w:rFonts w:ascii="Garamond" w:hAnsi="Garamond"/>
          <w:sz w:val="22"/>
          <w:szCs w:val="22"/>
        </w:rPr>
        <w:t>e broad concept of governance–</w:t>
      </w:r>
      <w:r w:rsidRPr="00782702">
        <w:rPr>
          <w:rFonts w:ascii="Garamond" w:hAnsi="Garamond"/>
          <w:sz w:val="22"/>
          <w:szCs w:val="22"/>
        </w:rPr>
        <w:t>encompasses systems of representation and citizen engagement, accountability, power and institutional authority, ownership, political stability and the rule of law. There is a general consensus that the governance function characterizes a set of processes (customs, policies</w:t>
      </w:r>
      <w:r w:rsidR="00217302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or laws) that are formally or informally applied to distribute responsibility or accountability among actors </w:t>
      </w:r>
      <w:r w:rsidR="00217302">
        <w:rPr>
          <w:rFonts w:ascii="Garamond" w:hAnsi="Garamond"/>
          <w:sz w:val="22"/>
          <w:szCs w:val="22"/>
        </w:rPr>
        <w:t>in</w:t>
      </w:r>
      <w:r w:rsidRPr="00782702">
        <w:rPr>
          <w:rFonts w:ascii="Garamond" w:hAnsi="Garamond"/>
          <w:sz w:val="22"/>
          <w:szCs w:val="22"/>
        </w:rPr>
        <w:t xml:space="preserve"> a given (health) system.</w:t>
      </w:r>
    </w:p>
    <w:p w14:paraId="20348495" w14:textId="0B06FB86" w:rsidR="00B80BF8" w:rsidRPr="00782702" w:rsidRDefault="00B80BF8" w:rsidP="00595265">
      <w:pPr>
        <w:spacing w:after="80" w:line="300" w:lineRule="auto"/>
        <w:rPr>
          <w:rFonts w:ascii="Garamond" w:hAnsi="Garamond"/>
          <w:b/>
          <w:sz w:val="22"/>
          <w:szCs w:val="22"/>
        </w:rPr>
      </w:pPr>
    </w:p>
    <w:p w14:paraId="19CEFB28" w14:textId="467768FE" w:rsidR="00CE7906" w:rsidRPr="00782702" w:rsidRDefault="00CE7906" w:rsidP="00595265">
      <w:pPr>
        <w:spacing w:after="120" w:line="300" w:lineRule="auto"/>
        <w:rPr>
          <w:rFonts w:ascii="Century Gothic" w:hAnsi="Century Gothic"/>
          <w:b/>
        </w:rPr>
      </w:pPr>
      <w:r w:rsidRPr="00782702">
        <w:rPr>
          <w:rFonts w:ascii="Century Gothic" w:hAnsi="Century Gothic"/>
          <w:b/>
        </w:rPr>
        <w:t xml:space="preserve">Governance for Health </w:t>
      </w:r>
      <w:r w:rsidR="00873983">
        <w:rPr>
          <w:rFonts w:ascii="Century Gothic" w:hAnsi="Century Gothic"/>
        </w:rPr>
        <w:t>WHO/Europe</w:t>
      </w:r>
      <w:r w:rsidR="001724B7">
        <w:rPr>
          <w:rStyle w:val="FootnoteReference"/>
          <w:rFonts w:ascii="Century Gothic" w:hAnsi="Century Gothic"/>
        </w:rPr>
        <w:footnoteReference w:id="2"/>
      </w:r>
    </w:p>
    <w:p w14:paraId="3C3FBD89" w14:textId="5C7C22C1" w:rsidR="00217302" w:rsidRDefault="00CE7906" w:rsidP="00595265">
      <w:p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>Governance for health is defined as the attempts of governments or other actors to steer communities, countries</w:t>
      </w:r>
      <w:r w:rsidR="00217302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or groups of countries in the pursuit of health as integral</w:t>
      </w:r>
      <w:r w:rsidR="002173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to well-being through both whole-of-government and whole-of-society approaches. It positions health and well-being as key features of what constitutes a successful society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and a vibrant economy in the 21st century and grounds policies and approaches in such values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as human rights and equity. Governance for health promotes joint action of health and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proofErr w:type="spellStart"/>
      <w:r w:rsidR="00217302">
        <w:rPr>
          <w:rFonts w:ascii="Garamond" w:hAnsi="Garamond"/>
          <w:sz w:val="22"/>
          <w:szCs w:val="22"/>
        </w:rPr>
        <w:t>non</w:t>
      </w:r>
      <w:r w:rsidRPr="00782702">
        <w:rPr>
          <w:rFonts w:ascii="Garamond" w:hAnsi="Garamond"/>
          <w:sz w:val="22"/>
          <w:szCs w:val="22"/>
        </w:rPr>
        <w:t>health</w:t>
      </w:r>
      <w:proofErr w:type="spellEnd"/>
      <w:r w:rsidRPr="00782702">
        <w:rPr>
          <w:rFonts w:ascii="Garamond" w:hAnsi="Garamond"/>
          <w:sz w:val="22"/>
          <w:szCs w:val="22"/>
        </w:rPr>
        <w:t xml:space="preserve"> sectors, of public and private actors</w:t>
      </w:r>
      <w:r w:rsidR="00217302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and of citizens for a common interest. It requires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a synergistic set of policies, many of which reside in sectors other than health as well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as sectors outside government, which must be supported by structures and mechanisms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that enable collaboration. It gives strong legitimacy to health ministers and ministries and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to public health agencies, to help them reach out and perform new roles in shaping policies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to promote health and well-being. Based on a review of case studies of new approaches to governance for health, five types of smart governance for health are proposed for consideration, which should be combined in whole-of-government and whole-of-society approaches: </w:t>
      </w:r>
    </w:p>
    <w:p w14:paraId="1CC05C6A" w14:textId="794ED019" w:rsidR="00CE7906" w:rsidRPr="00782702" w:rsidRDefault="00217302" w:rsidP="00595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217302">
        <w:rPr>
          <w:rFonts w:ascii="Garamond" w:hAnsi="Garamond"/>
          <w:sz w:val="22"/>
          <w:szCs w:val="22"/>
        </w:rPr>
        <w:t>G</w:t>
      </w:r>
      <w:r w:rsidR="00CE7906" w:rsidRPr="00782702">
        <w:rPr>
          <w:rFonts w:ascii="Garamond" w:hAnsi="Garamond"/>
          <w:sz w:val="22"/>
          <w:szCs w:val="22"/>
        </w:rPr>
        <w:t>overning by collaborating</w:t>
      </w:r>
    </w:p>
    <w:p w14:paraId="59E61069" w14:textId="6326600E" w:rsidR="00217302" w:rsidRPr="00217302" w:rsidRDefault="00217302" w:rsidP="00595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217302">
        <w:rPr>
          <w:rFonts w:ascii="Garamond" w:hAnsi="Garamond"/>
          <w:sz w:val="22"/>
          <w:szCs w:val="22"/>
        </w:rPr>
        <w:t>G</w:t>
      </w:r>
      <w:r w:rsidR="00CE7906" w:rsidRPr="00782702">
        <w:rPr>
          <w:rFonts w:ascii="Garamond" w:hAnsi="Garamond"/>
          <w:sz w:val="22"/>
          <w:szCs w:val="22"/>
        </w:rPr>
        <w:t>overning by engaging citizens</w:t>
      </w:r>
    </w:p>
    <w:p w14:paraId="6EB5260F" w14:textId="709DBC49" w:rsidR="00CE7906" w:rsidRPr="00782702" w:rsidRDefault="00217302" w:rsidP="00595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217302">
        <w:rPr>
          <w:rFonts w:ascii="Garamond" w:hAnsi="Garamond"/>
          <w:sz w:val="22"/>
          <w:szCs w:val="22"/>
        </w:rPr>
        <w:t>G</w:t>
      </w:r>
      <w:r w:rsidR="00CE7906" w:rsidRPr="00782702">
        <w:rPr>
          <w:rFonts w:ascii="Garamond" w:hAnsi="Garamond"/>
          <w:sz w:val="22"/>
          <w:szCs w:val="22"/>
        </w:rPr>
        <w:t>overning by mixing regulation and persuasion</w:t>
      </w:r>
    </w:p>
    <w:p w14:paraId="36820975" w14:textId="106B66CB" w:rsidR="00CE7906" w:rsidRPr="00782702" w:rsidRDefault="00217302" w:rsidP="00595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217302">
        <w:rPr>
          <w:rFonts w:ascii="Garamond" w:hAnsi="Garamond"/>
          <w:sz w:val="22"/>
          <w:szCs w:val="22"/>
        </w:rPr>
        <w:t>G</w:t>
      </w:r>
      <w:r w:rsidR="00CE7906" w:rsidRPr="00782702">
        <w:rPr>
          <w:rFonts w:ascii="Garamond" w:hAnsi="Garamond"/>
          <w:sz w:val="22"/>
          <w:szCs w:val="22"/>
        </w:rPr>
        <w:t>overning through independent agencies and expert bodies</w:t>
      </w:r>
    </w:p>
    <w:p w14:paraId="35B198A8" w14:textId="7FF6C27B" w:rsidR="00CE7906" w:rsidRPr="00782702" w:rsidRDefault="00217302" w:rsidP="00595265">
      <w:pPr>
        <w:pStyle w:val="ListParagraph"/>
        <w:numPr>
          <w:ilvl w:val="0"/>
          <w:numId w:val="3"/>
        </w:numPr>
        <w:spacing w:after="120" w:line="300" w:lineRule="auto"/>
        <w:rPr>
          <w:rFonts w:ascii="Garamond" w:hAnsi="Garamond"/>
          <w:sz w:val="22"/>
          <w:szCs w:val="22"/>
        </w:rPr>
      </w:pPr>
      <w:r w:rsidRPr="00217302">
        <w:rPr>
          <w:rFonts w:ascii="Garamond" w:hAnsi="Garamond"/>
          <w:sz w:val="22"/>
          <w:szCs w:val="22"/>
        </w:rPr>
        <w:t>G</w:t>
      </w:r>
      <w:r w:rsidR="00CE7906" w:rsidRPr="00782702">
        <w:rPr>
          <w:rFonts w:ascii="Garamond" w:hAnsi="Garamond"/>
          <w:sz w:val="22"/>
          <w:szCs w:val="22"/>
        </w:rPr>
        <w:t>overning by adaptive policies, resilient structures and foresight.</w:t>
      </w:r>
    </w:p>
    <w:p w14:paraId="793A45FC" w14:textId="1A03614F" w:rsidR="00CE7906" w:rsidRPr="00782702" w:rsidRDefault="00CE7906" w:rsidP="00595265">
      <w:pPr>
        <w:spacing w:line="300" w:lineRule="auto"/>
        <w:rPr>
          <w:sz w:val="22"/>
          <w:szCs w:val="22"/>
        </w:rPr>
      </w:pPr>
    </w:p>
    <w:p w14:paraId="4B9BD666" w14:textId="3C9AD6CD" w:rsidR="00F6759B" w:rsidRPr="00782702" w:rsidRDefault="00CE7906" w:rsidP="00595265">
      <w:pPr>
        <w:autoSpaceDE w:val="0"/>
        <w:autoSpaceDN w:val="0"/>
        <w:adjustRightInd w:val="0"/>
        <w:spacing w:after="120" w:line="300" w:lineRule="auto"/>
        <w:rPr>
          <w:rFonts w:ascii="Century Gothic" w:hAnsi="Century Gothic"/>
        </w:rPr>
      </w:pPr>
      <w:r w:rsidRPr="00782702">
        <w:rPr>
          <w:rFonts w:ascii="Century Gothic" w:hAnsi="Century Gothic"/>
          <w:b/>
        </w:rPr>
        <w:t>Governance in Health</w:t>
      </w:r>
      <w:r w:rsidRPr="00782702">
        <w:rPr>
          <w:rFonts w:ascii="Century Gothic" w:hAnsi="Century Gothic"/>
        </w:rPr>
        <w:t xml:space="preserve"> </w:t>
      </w:r>
      <w:r w:rsidR="00CE7C80" w:rsidRPr="00782702">
        <w:rPr>
          <w:rFonts w:ascii="Century Gothic" w:hAnsi="Century Gothic"/>
        </w:rPr>
        <w:t>World Bank</w:t>
      </w:r>
      <w:r w:rsidR="00F6759B" w:rsidRPr="00782702">
        <w:rPr>
          <w:rFonts w:ascii="Century Gothic" w:hAnsi="Century Gothic"/>
        </w:rPr>
        <w:t xml:space="preserve"> (2004)</w:t>
      </w:r>
    </w:p>
    <w:p w14:paraId="347CD8A7" w14:textId="0DD0F0BF" w:rsidR="00B53E9F" w:rsidRPr="00782702" w:rsidRDefault="009917D2" w:rsidP="00595265">
      <w:pPr>
        <w:autoSpaceDE w:val="0"/>
        <w:autoSpaceDN w:val="0"/>
        <w:adjustRightInd w:val="0"/>
        <w:spacing w:after="120" w:line="300" w:lineRule="auto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>The</w:t>
      </w:r>
      <w:r w:rsidR="00F47DB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increased interest in governance has been driven by the need for greater accountability, arising from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both increased funding and a growing demand to demonstrate results. An intrinsic aspect of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governance, therefore, is </w:t>
      </w:r>
      <w:r w:rsidRPr="00782702">
        <w:rPr>
          <w:rFonts w:ascii="Garamond" w:hAnsi="Garamond"/>
          <w:i/>
          <w:iCs/>
          <w:sz w:val="22"/>
          <w:szCs w:val="22"/>
        </w:rPr>
        <w:t xml:space="preserve">accountability. </w:t>
      </w:r>
      <w:r w:rsidRPr="00782702">
        <w:rPr>
          <w:rFonts w:ascii="Garamond" w:hAnsi="Garamond"/>
          <w:sz w:val="22"/>
          <w:szCs w:val="22"/>
        </w:rPr>
        <w:t>This concerns the management of relationships between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various stakeholders in health including individuals, households, communities, firms, governments,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="00217302">
        <w:rPr>
          <w:rFonts w:ascii="Garamond" w:hAnsi="Garamond"/>
          <w:sz w:val="22"/>
          <w:szCs w:val="22"/>
        </w:rPr>
        <w:t>non</w:t>
      </w:r>
      <w:r w:rsidRPr="00782702">
        <w:rPr>
          <w:rFonts w:ascii="Garamond" w:hAnsi="Garamond"/>
          <w:sz w:val="22"/>
          <w:szCs w:val="22"/>
        </w:rPr>
        <w:t>governmental organizations, private firms, and other entities which have the responsibility to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finance, monitor, deliver, and use health services (World Bank 2004). In particular, accountability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involves:</w:t>
      </w:r>
    </w:p>
    <w:p w14:paraId="34905117" w14:textId="7FCD049C" w:rsidR="00B53E9F" w:rsidRPr="00782702" w:rsidRDefault="009917D2" w:rsidP="00595265">
      <w:pPr>
        <w:autoSpaceDE w:val="0"/>
        <w:autoSpaceDN w:val="0"/>
        <w:adjustRightInd w:val="0"/>
        <w:spacing w:after="120" w:line="300" w:lineRule="auto"/>
        <w:ind w:left="720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a) </w:t>
      </w:r>
      <w:r w:rsidR="00212A8B" w:rsidRPr="00212A8B">
        <w:rPr>
          <w:rFonts w:ascii="Garamond" w:hAnsi="Garamond"/>
          <w:b/>
          <w:iCs/>
          <w:sz w:val="22"/>
          <w:szCs w:val="22"/>
        </w:rPr>
        <w:t>D</w:t>
      </w:r>
      <w:r w:rsidRPr="00212A8B">
        <w:rPr>
          <w:rFonts w:ascii="Garamond" w:hAnsi="Garamond"/>
          <w:b/>
          <w:iCs/>
          <w:sz w:val="22"/>
          <w:szCs w:val="22"/>
        </w:rPr>
        <w:t>elegation</w:t>
      </w:r>
      <w:r w:rsidR="00217302">
        <w:rPr>
          <w:rFonts w:ascii="Garamond" w:hAnsi="Garamond"/>
          <w:i/>
          <w:iCs/>
          <w:sz w:val="22"/>
          <w:szCs w:val="22"/>
        </w:rPr>
        <w:t>,</w:t>
      </w:r>
      <w:r w:rsidRPr="00782702">
        <w:rPr>
          <w:rFonts w:ascii="Garamond" w:hAnsi="Garamond"/>
          <w:i/>
          <w:iCs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or an understanding (either implicit or explicit) of how services will be supplied;</w:t>
      </w:r>
    </w:p>
    <w:p w14:paraId="1F83B1B4" w14:textId="0D29EBC8" w:rsidR="00B53E9F" w:rsidRPr="00782702" w:rsidRDefault="009917D2" w:rsidP="00595265">
      <w:pPr>
        <w:autoSpaceDE w:val="0"/>
        <w:autoSpaceDN w:val="0"/>
        <w:adjustRightInd w:val="0"/>
        <w:spacing w:after="120" w:line="300" w:lineRule="auto"/>
        <w:ind w:firstLine="720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b) </w:t>
      </w:r>
      <w:r w:rsidR="00212A8B" w:rsidRPr="00212A8B">
        <w:rPr>
          <w:rFonts w:ascii="Garamond" w:hAnsi="Garamond"/>
          <w:b/>
          <w:iCs/>
          <w:sz w:val="22"/>
          <w:szCs w:val="22"/>
        </w:rPr>
        <w:t>F</w:t>
      </w:r>
      <w:r w:rsidRPr="00212A8B">
        <w:rPr>
          <w:rFonts w:ascii="Garamond" w:hAnsi="Garamond"/>
          <w:b/>
          <w:iCs/>
          <w:sz w:val="22"/>
          <w:szCs w:val="22"/>
        </w:rPr>
        <w:t>inancing</w:t>
      </w:r>
      <w:r w:rsidRPr="00782702">
        <w:rPr>
          <w:rFonts w:ascii="Garamond" w:hAnsi="Garamond"/>
          <w:i/>
          <w:iCs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to ensure that adequate resources are available to deliver services; </w:t>
      </w:r>
    </w:p>
    <w:p w14:paraId="1A4511C5" w14:textId="6CBC666F" w:rsidR="00B53E9F" w:rsidRPr="00782702" w:rsidRDefault="009917D2" w:rsidP="00595265">
      <w:pPr>
        <w:autoSpaceDE w:val="0"/>
        <w:autoSpaceDN w:val="0"/>
        <w:adjustRightInd w:val="0"/>
        <w:spacing w:after="120" w:line="300" w:lineRule="auto"/>
        <w:ind w:firstLine="720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c) </w:t>
      </w:r>
      <w:r w:rsidR="00212A8B" w:rsidRPr="00212A8B">
        <w:rPr>
          <w:rFonts w:ascii="Garamond" w:hAnsi="Garamond"/>
          <w:b/>
          <w:iCs/>
          <w:sz w:val="22"/>
          <w:szCs w:val="22"/>
        </w:rPr>
        <w:t>P</w:t>
      </w:r>
      <w:r w:rsidRPr="00212A8B">
        <w:rPr>
          <w:rFonts w:ascii="Garamond" w:hAnsi="Garamond"/>
          <w:b/>
          <w:iCs/>
          <w:sz w:val="22"/>
          <w:szCs w:val="22"/>
        </w:rPr>
        <w:t>erformance</w:t>
      </w:r>
      <w:r w:rsidRPr="00782702">
        <w:rPr>
          <w:rFonts w:ascii="Garamond" w:hAnsi="Garamond"/>
          <w:i/>
          <w:iCs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around the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actual supply of services; </w:t>
      </w:r>
    </w:p>
    <w:p w14:paraId="66C78210" w14:textId="6B3F4764" w:rsidR="00B53E9F" w:rsidRPr="00782702" w:rsidRDefault="009917D2" w:rsidP="00595265">
      <w:pPr>
        <w:autoSpaceDE w:val="0"/>
        <w:autoSpaceDN w:val="0"/>
        <w:adjustRightInd w:val="0"/>
        <w:spacing w:after="120" w:line="300" w:lineRule="auto"/>
        <w:ind w:firstLine="720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d) </w:t>
      </w:r>
      <w:r w:rsidR="00212A8B" w:rsidRPr="00212A8B">
        <w:rPr>
          <w:rFonts w:ascii="Garamond" w:hAnsi="Garamond"/>
          <w:b/>
          <w:iCs/>
          <w:sz w:val="22"/>
          <w:szCs w:val="22"/>
        </w:rPr>
        <w:t>R</w:t>
      </w:r>
      <w:r w:rsidRPr="00212A8B">
        <w:rPr>
          <w:rFonts w:ascii="Garamond" w:hAnsi="Garamond"/>
          <w:b/>
          <w:iCs/>
          <w:sz w:val="22"/>
          <w:szCs w:val="22"/>
        </w:rPr>
        <w:t>eceipt of relevant information</w:t>
      </w:r>
      <w:r w:rsidRPr="00782702">
        <w:rPr>
          <w:rFonts w:ascii="Garamond" w:hAnsi="Garamond"/>
          <w:i/>
          <w:iCs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to evaluate or monitor performance; and, </w:t>
      </w:r>
    </w:p>
    <w:p w14:paraId="61FA04A4" w14:textId="39675029" w:rsidR="003B3C2D" w:rsidRPr="00595265" w:rsidRDefault="009917D2" w:rsidP="003B3C2D">
      <w:pPr>
        <w:tabs>
          <w:tab w:val="left" w:pos="990"/>
        </w:tabs>
        <w:autoSpaceDE w:val="0"/>
        <w:autoSpaceDN w:val="0"/>
        <w:adjustRightInd w:val="0"/>
        <w:spacing w:after="240" w:line="300" w:lineRule="auto"/>
        <w:ind w:left="900" w:hanging="180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lastRenderedPageBreak/>
        <w:t>e)</w:t>
      </w:r>
      <w:r w:rsidR="00F6759B" w:rsidRPr="00782702">
        <w:rPr>
          <w:rFonts w:ascii="Garamond" w:hAnsi="Garamond"/>
          <w:sz w:val="22"/>
          <w:szCs w:val="22"/>
        </w:rPr>
        <w:t xml:space="preserve"> </w:t>
      </w:r>
      <w:r w:rsidR="00212A8B" w:rsidRPr="00212A8B">
        <w:rPr>
          <w:rFonts w:ascii="Garamond" w:hAnsi="Garamond"/>
          <w:b/>
          <w:iCs/>
          <w:sz w:val="22"/>
          <w:szCs w:val="22"/>
        </w:rPr>
        <w:t>E</w:t>
      </w:r>
      <w:r w:rsidRPr="00212A8B">
        <w:rPr>
          <w:rFonts w:ascii="Garamond" w:hAnsi="Garamond"/>
          <w:b/>
          <w:iCs/>
          <w:sz w:val="22"/>
          <w:szCs w:val="22"/>
        </w:rPr>
        <w:t>nforcement</w:t>
      </w:r>
      <w:r w:rsidR="00217302">
        <w:rPr>
          <w:rFonts w:ascii="Garamond" w:hAnsi="Garamond"/>
          <w:i/>
          <w:iCs/>
          <w:sz w:val="22"/>
          <w:szCs w:val="22"/>
        </w:rPr>
        <w:t>,</w:t>
      </w:r>
      <w:r w:rsidRPr="00782702">
        <w:rPr>
          <w:rFonts w:ascii="Garamond" w:hAnsi="Garamond"/>
          <w:i/>
          <w:iCs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>which concerns the imposition of sanctions or the provision of rewards for performance</w:t>
      </w:r>
    </w:p>
    <w:p w14:paraId="1058FDA7" w14:textId="2A2C8351" w:rsidR="00CE7C80" w:rsidRPr="00782702" w:rsidRDefault="00CE7C80" w:rsidP="00595265">
      <w:pPr>
        <w:spacing w:after="80" w:line="300" w:lineRule="auto"/>
        <w:rPr>
          <w:rFonts w:ascii="Century Gothic" w:hAnsi="Century Gothic"/>
          <w:sz w:val="22"/>
          <w:szCs w:val="22"/>
        </w:rPr>
      </w:pPr>
      <w:r w:rsidRPr="00782702">
        <w:rPr>
          <w:rFonts w:ascii="Century Gothic" w:hAnsi="Century Gothic"/>
          <w:sz w:val="22"/>
          <w:szCs w:val="22"/>
        </w:rPr>
        <w:t>Good Governance in Health Care</w:t>
      </w:r>
      <w:r w:rsidR="001724B7">
        <w:rPr>
          <w:rStyle w:val="FootnoteReference"/>
          <w:rFonts w:ascii="Century Gothic" w:hAnsi="Century Gothic"/>
          <w:sz w:val="22"/>
          <w:szCs w:val="22"/>
        </w:rPr>
        <w:footnoteReference w:id="3"/>
      </w:r>
      <w:r w:rsidR="00CE7906" w:rsidRPr="00782702">
        <w:rPr>
          <w:rFonts w:ascii="Century Gothic" w:hAnsi="Century Gothic"/>
          <w:sz w:val="22"/>
          <w:szCs w:val="22"/>
        </w:rPr>
        <w:t xml:space="preserve"> </w:t>
      </w:r>
    </w:p>
    <w:p w14:paraId="4107AEAF" w14:textId="426E0FC1" w:rsidR="00CE7C80" w:rsidRPr="00782702" w:rsidRDefault="00CE7C80" w:rsidP="00595265">
      <w:pPr>
        <w:autoSpaceDE w:val="0"/>
        <w:autoSpaceDN w:val="0"/>
        <w:adjustRightInd w:val="0"/>
        <w:spacing w:after="80" w:line="300" w:lineRule="auto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>Good governance in health systems promotes effective delivery of health services.</w:t>
      </w:r>
    </w:p>
    <w:p w14:paraId="422F928D" w14:textId="1B99BEB4" w:rsidR="00F6759B" w:rsidRDefault="00CE7C80" w:rsidP="00595265">
      <w:pPr>
        <w:autoSpaceDE w:val="0"/>
        <w:autoSpaceDN w:val="0"/>
        <w:adjustRightInd w:val="0"/>
        <w:spacing w:after="80" w:line="300" w:lineRule="auto"/>
        <w:rPr>
          <w:rFonts w:ascii="Garamond" w:hAnsi="Garamond"/>
          <w:sz w:val="22"/>
          <w:szCs w:val="22"/>
        </w:rPr>
      </w:pPr>
      <w:r w:rsidRPr="00782702">
        <w:rPr>
          <w:rFonts w:ascii="Garamond" w:hAnsi="Garamond"/>
          <w:sz w:val="22"/>
          <w:szCs w:val="22"/>
        </w:rPr>
        <w:t xml:space="preserve">Critical are appropriate </w:t>
      </w:r>
      <w:r w:rsidRPr="00782702">
        <w:rPr>
          <w:rFonts w:ascii="Garamond" w:hAnsi="Garamond"/>
          <w:i/>
          <w:iCs/>
          <w:sz w:val="22"/>
          <w:szCs w:val="22"/>
        </w:rPr>
        <w:t xml:space="preserve">standards, incentives, information, </w:t>
      </w:r>
      <w:r w:rsidRPr="00782702">
        <w:rPr>
          <w:rFonts w:ascii="Garamond" w:hAnsi="Garamond"/>
          <w:sz w:val="22"/>
          <w:szCs w:val="22"/>
        </w:rPr>
        <w:t xml:space="preserve">and </w:t>
      </w:r>
      <w:r w:rsidRPr="00782702">
        <w:rPr>
          <w:rFonts w:ascii="Garamond" w:hAnsi="Garamond"/>
          <w:i/>
          <w:iCs/>
          <w:sz w:val="22"/>
          <w:szCs w:val="22"/>
        </w:rPr>
        <w:t>accountabilities</w:t>
      </w:r>
      <w:r w:rsidRPr="00782702">
        <w:rPr>
          <w:rFonts w:ascii="Garamond" w:hAnsi="Garamond"/>
          <w:sz w:val="22"/>
          <w:szCs w:val="22"/>
        </w:rPr>
        <w:t>, which</w:t>
      </w:r>
      <w:r w:rsidR="002173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induce high </w:t>
      </w:r>
      <w:r w:rsidRPr="00782702">
        <w:rPr>
          <w:rFonts w:ascii="Garamond" w:hAnsi="Garamond"/>
          <w:i/>
          <w:iCs/>
          <w:sz w:val="22"/>
          <w:szCs w:val="22"/>
        </w:rPr>
        <w:t xml:space="preserve">performance </w:t>
      </w:r>
      <w:r w:rsidRPr="00782702">
        <w:rPr>
          <w:rFonts w:ascii="Garamond" w:hAnsi="Garamond"/>
          <w:sz w:val="22"/>
          <w:szCs w:val="22"/>
        </w:rPr>
        <w:t>from public providers</w:t>
      </w:r>
      <w:r w:rsidR="00CE7906" w:rsidRPr="00782702">
        <w:rPr>
          <w:rFonts w:ascii="Garamond" w:hAnsi="Garamond"/>
          <w:sz w:val="22"/>
          <w:szCs w:val="22"/>
        </w:rPr>
        <w:t>.</w:t>
      </w:r>
      <w:r w:rsidRPr="00782702">
        <w:rPr>
          <w:rFonts w:ascii="Garamond" w:hAnsi="Garamond"/>
          <w:sz w:val="22"/>
          <w:szCs w:val="22"/>
        </w:rPr>
        <w:t xml:space="preserve"> Sound provider performance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in turn, raises the level of health </w:t>
      </w:r>
      <w:r w:rsidRPr="00782702">
        <w:rPr>
          <w:rFonts w:ascii="Garamond" w:hAnsi="Garamond"/>
          <w:i/>
          <w:iCs/>
          <w:sz w:val="22"/>
          <w:szCs w:val="22"/>
        </w:rPr>
        <w:t xml:space="preserve">outputs </w:t>
      </w:r>
      <w:r w:rsidRPr="00782702">
        <w:rPr>
          <w:rFonts w:ascii="Garamond" w:hAnsi="Garamond"/>
          <w:sz w:val="22"/>
          <w:szCs w:val="22"/>
        </w:rPr>
        <w:t>(e.g.</w:t>
      </w:r>
      <w:r w:rsidR="004205AC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</w:t>
      </w:r>
      <w:r w:rsidR="00D52E5F" w:rsidRPr="00782702">
        <w:rPr>
          <w:rFonts w:ascii="Garamond" w:hAnsi="Garamond"/>
          <w:sz w:val="22"/>
          <w:szCs w:val="22"/>
        </w:rPr>
        <w:t xml:space="preserve">number </w:t>
      </w:r>
      <w:r w:rsidR="00D52E5F">
        <w:rPr>
          <w:rFonts w:ascii="Garamond" w:hAnsi="Garamond"/>
          <w:sz w:val="22"/>
          <w:szCs w:val="22"/>
        </w:rPr>
        <w:t>of</w:t>
      </w:r>
      <w:r w:rsidRPr="00782702">
        <w:rPr>
          <w:rFonts w:ascii="Garamond" w:hAnsi="Garamond"/>
          <w:sz w:val="22"/>
          <w:szCs w:val="22"/>
        </w:rPr>
        <w:t xml:space="preserve"> treated patients) and can</w:t>
      </w:r>
      <w:r w:rsidR="00B53E9F" w:rsidRPr="00782702">
        <w:rPr>
          <w:rFonts w:ascii="Garamond" w:hAnsi="Garamond"/>
          <w:sz w:val="22"/>
          <w:szCs w:val="22"/>
        </w:rPr>
        <w:t xml:space="preserve"> </w:t>
      </w:r>
      <w:r w:rsidRPr="00782702">
        <w:rPr>
          <w:rFonts w:ascii="Garamond" w:hAnsi="Garamond"/>
          <w:sz w:val="22"/>
          <w:szCs w:val="22"/>
        </w:rPr>
        <w:t xml:space="preserve">contribute to improved </w:t>
      </w:r>
      <w:r w:rsidRPr="00782702">
        <w:rPr>
          <w:rFonts w:ascii="Garamond" w:hAnsi="Garamond"/>
          <w:i/>
          <w:iCs/>
          <w:sz w:val="22"/>
          <w:szCs w:val="22"/>
        </w:rPr>
        <w:t xml:space="preserve">outcomes </w:t>
      </w:r>
      <w:r w:rsidRPr="00782702">
        <w:rPr>
          <w:rFonts w:ascii="Garamond" w:hAnsi="Garamond"/>
          <w:sz w:val="22"/>
          <w:szCs w:val="22"/>
        </w:rPr>
        <w:t>(e.g.</w:t>
      </w:r>
      <w:r w:rsidR="004205AC">
        <w:rPr>
          <w:rFonts w:ascii="Garamond" w:hAnsi="Garamond"/>
          <w:sz w:val="22"/>
          <w:szCs w:val="22"/>
        </w:rPr>
        <w:t>,</w:t>
      </w:r>
      <w:r w:rsidRPr="00782702">
        <w:rPr>
          <w:rFonts w:ascii="Garamond" w:hAnsi="Garamond"/>
          <w:sz w:val="22"/>
          <w:szCs w:val="22"/>
        </w:rPr>
        <w:t xml:space="preserve"> health status).</w:t>
      </w:r>
    </w:p>
    <w:p w14:paraId="7F8D1DD9" w14:textId="7435C73E" w:rsidR="00595265" w:rsidRPr="00782702" w:rsidRDefault="003B3C2D" w:rsidP="00595265">
      <w:pPr>
        <w:autoSpaceDE w:val="0"/>
        <w:autoSpaceDN w:val="0"/>
        <w:adjustRightInd w:val="0"/>
        <w:spacing w:after="80" w:line="300" w:lineRule="auto"/>
        <w:rPr>
          <w:rFonts w:ascii="Garamond" w:hAnsi="Garamond"/>
          <w:sz w:val="22"/>
          <w:szCs w:val="22"/>
        </w:rPr>
      </w:pP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52FA46C8" wp14:editId="4D0D1817">
            <wp:simplePos x="0" y="0"/>
            <wp:positionH relativeFrom="column">
              <wp:posOffset>-183515</wp:posOffset>
            </wp:positionH>
            <wp:positionV relativeFrom="paragraph">
              <wp:posOffset>6299200</wp:posOffset>
            </wp:positionV>
            <wp:extent cx="6007735" cy="1766981"/>
            <wp:effectExtent l="0" t="0" r="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Log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76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265" w:rsidRPr="00782702" w:rsidSect="00595265">
      <w:headerReference w:type="default" r:id="rId15"/>
      <w:footnotePr>
        <w:pos w:val="beneathText"/>
      </w:footnotePr>
      <w:pgSz w:w="11907" w:h="16839" w:code="9"/>
      <w:pgMar w:top="1278" w:right="1440" w:bottom="12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7ED6" w14:textId="77777777" w:rsidR="00D824A8" w:rsidRDefault="00D824A8" w:rsidP="00CE7906">
      <w:r>
        <w:separator/>
      </w:r>
    </w:p>
  </w:endnote>
  <w:endnote w:type="continuationSeparator" w:id="0">
    <w:p w14:paraId="3D93D551" w14:textId="77777777" w:rsidR="00D824A8" w:rsidRDefault="00D824A8" w:rsidP="00C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E5EA" w14:textId="77777777" w:rsidR="00D824A8" w:rsidRDefault="00D824A8" w:rsidP="00CE7906">
      <w:r>
        <w:separator/>
      </w:r>
    </w:p>
  </w:footnote>
  <w:footnote w:type="continuationSeparator" w:id="0">
    <w:p w14:paraId="432EAE3E" w14:textId="77777777" w:rsidR="00D824A8" w:rsidRDefault="00D824A8" w:rsidP="00CE7906">
      <w:r>
        <w:continuationSeparator/>
      </w:r>
    </w:p>
  </w:footnote>
  <w:footnote w:id="1">
    <w:p w14:paraId="39E9B178" w14:textId="2193DE56" w:rsidR="00CE7906" w:rsidRPr="006801EB" w:rsidRDefault="00CE7906">
      <w:pPr>
        <w:pStyle w:val="FootnoteText"/>
        <w:rPr>
          <w:rFonts w:ascii="Century Gothic" w:hAnsi="Century Gothic"/>
          <w:sz w:val="16"/>
          <w:szCs w:val="16"/>
        </w:rPr>
      </w:pPr>
      <w:r w:rsidRPr="006801EB">
        <w:rPr>
          <w:rStyle w:val="FootnoteReference"/>
          <w:rFonts w:ascii="Century Gothic" w:hAnsi="Century Gothic"/>
          <w:sz w:val="16"/>
          <w:szCs w:val="16"/>
        </w:rPr>
        <w:footnoteRef/>
      </w:r>
      <w:r w:rsidRPr="006801EB">
        <w:rPr>
          <w:rFonts w:ascii="Century Gothic" w:hAnsi="Century Gothic"/>
          <w:sz w:val="16"/>
          <w:szCs w:val="16"/>
        </w:rPr>
        <w:t xml:space="preserve"> </w:t>
      </w:r>
      <w:hyperlink r:id="rId1" w:history="1">
        <w:r w:rsidR="003E7D47" w:rsidRPr="006801EB">
          <w:rPr>
            <w:rStyle w:val="Hyperlink"/>
            <w:rFonts w:ascii="Century Gothic" w:hAnsi="Century Gothic"/>
            <w:sz w:val="16"/>
            <w:szCs w:val="16"/>
          </w:rPr>
          <w:t>http://www.who.int/healthsystems/hss_glossary/en/index9.html</w:t>
        </w:r>
      </w:hyperlink>
    </w:p>
  </w:footnote>
  <w:footnote w:id="2">
    <w:p w14:paraId="6E03B4BC" w14:textId="0AA4D7E2" w:rsidR="001724B7" w:rsidRPr="006801EB" w:rsidRDefault="001724B7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  <w:r w:rsidRPr="006801EB">
        <w:rPr>
          <w:rStyle w:val="FootnoteReference"/>
          <w:rFonts w:ascii="Century Gothic" w:hAnsi="Century Gothic"/>
          <w:sz w:val="16"/>
          <w:szCs w:val="16"/>
        </w:rPr>
        <w:footnoteRef/>
      </w:r>
      <w:r w:rsidRPr="006801E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6801EB">
        <w:rPr>
          <w:rFonts w:ascii="Century Gothic" w:hAnsi="Century Gothic"/>
          <w:sz w:val="16"/>
          <w:szCs w:val="16"/>
        </w:rPr>
        <w:t>Kickbusch</w:t>
      </w:r>
      <w:proofErr w:type="spellEnd"/>
      <w:r w:rsidRPr="006801EB">
        <w:rPr>
          <w:rFonts w:ascii="Century Gothic" w:hAnsi="Century Gothic"/>
          <w:sz w:val="16"/>
          <w:szCs w:val="16"/>
        </w:rPr>
        <w:t xml:space="preserve">, I.&amp; </w:t>
      </w:r>
      <w:proofErr w:type="spellStart"/>
      <w:r w:rsidRPr="006801EB">
        <w:rPr>
          <w:rFonts w:ascii="Century Gothic" w:hAnsi="Century Gothic"/>
          <w:sz w:val="16"/>
          <w:szCs w:val="16"/>
        </w:rPr>
        <w:t>Gleicher</w:t>
      </w:r>
      <w:proofErr w:type="spellEnd"/>
      <w:r w:rsidRPr="006801EB">
        <w:rPr>
          <w:rFonts w:ascii="Century Gothic" w:hAnsi="Century Gothic"/>
          <w:sz w:val="16"/>
          <w:szCs w:val="16"/>
        </w:rPr>
        <w:t>, D. (2012). Governance for health in the 21</w:t>
      </w:r>
      <w:r w:rsidRPr="006801EB">
        <w:rPr>
          <w:rFonts w:ascii="Century Gothic" w:hAnsi="Century Gothic"/>
          <w:sz w:val="16"/>
          <w:szCs w:val="16"/>
          <w:vertAlign w:val="superscript"/>
        </w:rPr>
        <w:t>st</w:t>
      </w:r>
      <w:r w:rsidRPr="006801EB">
        <w:rPr>
          <w:rFonts w:ascii="Century Gothic" w:hAnsi="Century Gothic"/>
          <w:sz w:val="16"/>
          <w:szCs w:val="16"/>
        </w:rPr>
        <w:t xml:space="preserve"> century. Copenhagen, Denmark: World Health Organization Regional Office for Europe.</w:t>
      </w:r>
    </w:p>
  </w:footnote>
  <w:footnote w:id="3">
    <w:p w14:paraId="4D73A141" w14:textId="5D7670D0" w:rsidR="001724B7" w:rsidRDefault="001724B7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  <w:r w:rsidRPr="006801EB">
        <w:rPr>
          <w:rStyle w:val="FootnoteReference"/>
          <w:rFonts w:ascii="Century Gothic" w:hAnsi="Century Gothic"/>
          <w:sz w:val="16"/>
          <w:szCs w:val="16"/>
        </w:rPr>
        <w:footnoteRef/>
      </w:r>
      <w:r w:rsidRPr="006801EB">
        <w:rPr>
          <w:rFonts w:ascii="Century Gothic" w:hAnsi="Century Gothic"/>
          <w:sz w:val="16"/>
          <w:szCs w:val="16"/>
        </w:rPr>
        <w:t xml:space="preserve"> Lewis, M. &amp; </w:t>
      </w:r>
      <w:proofErr w:type="spellStart"/>
      <w:r w:rsidRPr="006801EB">
        <w:rPr>
          <w:rFonts w:ascii="Century Gothic" w:hAnsi="Century Gothic"/>
          <w:sz w:val="16"/>
          <w:szCs w:val="16"/>
        </w:rPr>
        <w:t>Pettersson</w:t>
      </w:r>
      <w:proofErr w:type="spellEnd"/>
      <w:r w:rsidRPr="006801EB">
        <w:rPr>
          <w:rFonts w:ascii="Century Gothic" w:hAnsi="Century Gothic"/>
          <w:sz w:val="16"/>
          <w:szCs w:val="16"/>
        </w:rPr>
        <w:t>, G. (2009). Governance in health care delivery: Raising performance. Policy Research Working Paper</w:t>
      </w:r>
      <w:r w:rsidR="00212A8B" w:rsidRPr="006801EB">
        <w:rPr>
          <w:rFonts w:ascii="Century Gothic" w:hAnsi="Century Gothic"/>
          <w:sz w:val="16"/>
          <w:szCs w:val="16"/>
        </w:rPr>
        <w:t xml:space="preserve"> WPS 5074. Washington, DC: World Bank.</w:t>
      </w:r>
    </w:p>
    <w:p w14:paraId="0BBA7B1D" w14:textId="77777777" w:rsidR="00595265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  <w:p w14:paraId="23D42F82" w14:textId="77777777" w:rsidR="00595265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  <w:p w14:paraId="1E2F5F4D" w14:textId="77777777" w:rsidR="00595265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  <w:p w14:paraId="1A67D4FB" w14:textId="77777777" w:rsidR="00595265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  <w:p w14:paraId="1C626A04" w14:textId="77777777" w:rsidR="00595265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  <w:p w14:paraId="0689E436" w14:textId="61CC9FDC" w:rsidR="00595265" w:rsidRPr="006801EB" w:rsidRDefault="00595265" w:rsidP="006801EB">
      <w:pPr>
        <w:pStyle w:val="FootnoteText"/>
        <w:spacing w:after="80" w:line="200" w:lineRule="exact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AAA1" w14:textId="4F5B8733" w:rsidR="00720E08" w:rsidRPr="00720E08" w:rsidRDefault="00720E0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DE"/>
    <w:multiLevelType w:val="multilevel"/>
    <w:tmpl w:val="40E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513A"/>
    <w:multiLevelType w:val="hybridMultilevel"/>
    <w:tmpl w:val="DAE2CA3E"/>
    <w:lvl w:ilvl="0" w:tplc="63482134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60C"/>
    <w:multiLevelType w:val="hybridMultilevel"/>
    <w:tmpl w:val="8DAC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F"/>
    <w:rsid w:val="00015257"/>
    <w:rsid w:val="000B617A"/>
    <w:rsid w:val="000C61B1"/>
    <w:rsid w:val="001232C7"/>
    <w:rsid w:val="001724B7"/>
    <w:rsid w:val="001F7513"/>
    <w:rsid w:val="00212A8B"/>
    <w:rsid w:val="00217302"/>
    <w:rsid w:val="00260F6C"/>
    <w:rsid w:val="002D1547"/>
    <w:rsid w:val="00317010"/>
    <w:rsid w:val="00333C10"/>
    <w:rsid w:val="0035181C"/>
    <w:rsid w:val="003B32CD"/>
    <w:rsid w:val="003B3C2D"/>
    <w:rsid w:val="003E7D47"/>
    <w:rsid w:val="004205AC"/>
    <w:rsid w:val="00484EFE"/>
    <w:rsid w:val="00514162"/>
    <w:rsid w:val="005217FB"/>
    <w:rsid w:val="00595265"/>
    <w:rsid w:val="005B3919"/>
    <w:rsid w:val="006058B6"/>
    <w:rsid w:val="006801EB"/>
    <w:rsid w:val="006A7571"/>
    <w:rsid w:val="006F4E93"/>
    <w:rsid w:val="007108DA"/>
    <w:rsid w:val="00720E08"/>
    <w:rsid w:val="007646BF"/>
    <w:rsid w:val="00782702"/>
    <w:rsid w:val="008201A9"/>
    <w:rsid w:val="00842EF6"/>
    <w:rsid w:val="00873983"/>
    <w:rsid w:val="00885C58"/>
    <w:rsid w:val="008B50B1"/>
    <w:rsid w:val="00990766"/>
    <w:rsid w:val="009917D2"/>
    <w:rsid w:val="009E647F"/>
    <w:rsid w:val="00A01ECE"/>
    <w:rsid w:val="00A7058F"/>
    <w:rsid w:val="00AB5703"/>
    <w:rsid w:val="00B53E9F"/>
    <w:rsid w:val="00B6304D"/>
    <w:rsid w:val="00B80BF8"/>
    <w:rsid w:val="00CC37DF"/>
    <w:rsid w:val="00CD68BE"/>
    <w:rsid w:val="00CE7906"/>
    <w:rsid w:val="00CE7C80"/>
    <w:rsid w:val="00D52E5F"/>
    <w:rsid w:val="00D824A8"/>
    <w:rsid w:val="00DC63C2"/>
    <w:rsid w:val="00E07738"/>
    <w:rsid w:val="00ED71AE"/>
    <w:rsid w:val="00EE5889"/>
    <w:rsid w:val="00F47DBF"/>
    <w:rsid w:val="00F65556"/>
    <w:rsid w:val="00F6759B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D974"/>
  <w15:docId w15:val="{C7B9C31B-A92C-4B64-8779-D277FEF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59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9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9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08"/>
  </w:style>
  <w:style w:type="paragraph" w:styleId="Footer">
    <w:name w:val="footer"/>
    <w:basedOn w:val="Normal"/>
    <w:link w:val="FooterChar"/>
    <w:uiPriority w:val="99"/>
    <w:unhideWhenUsed/>
    <w:rsid w:val="0072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08"/>
  </w:style>
  <w:style w:type="paragraph" w:styleId="BalloonText">
    <w:name w:val="Balloon Text"/>
    <w:basedOn w:val="Normal"/>
    <w:link w:val="BalloonTextChar"/>
    <w:uiPriority w:val="99"/>
    <w:semiHidden/>
    <w:unhideWhenUsed/>
    <w:rsid w:val="0072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E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healthsystems/hss_glossary/en/index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2170-D2E6-42B9-97D8-9D6AA66B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C1C10-BBD7-4936-9E3F-711054E38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C6256-110E-4EC1-B0DB-E2BA91955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52F55-94B5-4B6B-8A76-F94299E2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cp:lastPrinted>2016-01-14T14:21:00Z</cp:lastPrinted>
  <dcterms:created xsi:type="dcterms:W3CDTF">2017-02-08T13:35:00Z</dcterms:created>
  <dcterms:modified xsi:type="dcterms:W3CDTF">2017-02-08T13:35:00Z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