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C86347A" w14:textId="52F9C937" w:rsidR="00332E58" w:rsidRDefault="008E623C" w:rsidP="00332E58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92297" wp14:editId="2BCFD179">
                <wp:simplePos x="0" y="0"/>
                <wp:positionH relativeFrom="margin">
                  <wp:posOffset>2223135</wp:posOffset>
                </wp:positionH>
                <wp:positionV relativeFrom="margin">
                  <wp:posOffset>-480060</wp:posOffset>
                </wp:positionV>
                <wp:extent cx="3727450" cy="541655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7EC45" w14:textId="77777777" w:rsidR="008E623C" w:rsidRPr="00390609" w:rsidRDefault="008E623C" w:rsidP="008E623C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9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3A9229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75.05pt;margin-top:-37.75pt;width:293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9w64c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" filled="f" stroked="f" strokeweight=".5pt">
                <v:path arrowok="t"/>
                <v:textbox>
                  <w:txbxContent>
                    <w:p w14:paraId="5647EC45" w14:textId="77777777" w:rsidR="008E623C" w:rsidRPr="00390609" w:rsidRDefault="008E623C" w:rsidP="008E623C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0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1E185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84AFE" wp14:editId="6E04A9B1">
                <wp:simplePos x="0" y="0"/>
                <wp:positionH relativeFrom="column">
                  <wp:posOffset>-862965</wp:posOffset>
                </wp:positionH>
                <wp:positionV relativeFrom="paragraph">
                  <wp:posOffset>-369570</wp:posOffset>
                </wp:positionV>
                <wp:extent cx="17145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6B98" w14:textId="496FC089" w:rsidR="008E623C" w:rsidRPr="008E623C" w:rsidRDefault="008E623C" w:rsidP="008E623C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8E623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59F84AFE" id="Text_x0020_Box_x0020_5" o:spid="_x0000_s1027" type="#_x0000_t202" style="position:absolute;left:0;text-align:left;margin-left:-67.95pt;margin-top:-29.05pt;width:13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" filled="f" stroked="f">
                <v:textbox>
                  <w:txbxContent>
                    <w:p w14:paraId="5B586B98" w14:textId="496FC089" w:rsidR="008E623C" w:rsidRPr="008E623C" w:rsidRDefault="008E623C" w:rsidP="008E623C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8E623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color w:val="1E185F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2A02B5E" wp14:editId="54C1B171">
            <wp:simplePos x="0" y="0"/>
            <wp:positionH relativeFrom="column">
              <wp:posOffset>-914400</wp:posOffset>
            </wp:positionH>
            <wp:positionV relativeFrom="paragraph">
              <wp:posOffset>-715010</wp:posOffset>
            </wp:positionV>
            <wp:extent cx="3594735" cy="119228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IS CURRICULUM FLAG_t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386" cy="120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46C02" w14:textId="4011664A" w:rsidR="00C46AA7" w:rsidRPr="008E623C" w:rsidRDefault="009C252B" w:rsidP="008E623C">
      <w:pPr>
        <w:spacing w:after="120"/>
        <w:jc w:val="left"/>
        <w:rPr>
          <w:rFonts w:ascii="Century Gothic" w:hAnsi="Century Gothic"/>
          <w:b/>
          <w:bCs/>
          <w:caps/>
          <w:color w:val="1E185F"/>
          <w:sz w:val="56"/>
          <w:szCs w:val="36"/>
        </w:rPr>
      </w:pPr>
      <w:r>
        <w:rPr>
          <w:rFonts w:ascii="Century Gothic" w:hAnsi="Century Gothic"/>
          <w:b/>
          <w:bCs/>
          <w:color w:val="1E185F"/>
          <w:sz w:val="56"/>
          <w:szCs w:val="56"/>
        </w:rPr>
        <w:br/>
      </w:r>
      <w:r w:rsidR="00ED6134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Common </w:t>
      </w:r>
      <w:r w:rsidR="00332E58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Tools Used to Enable S</w:t>
      </w:r>
      <w:r w:rsidR="00DC291D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ubf</w:t>
      </w:r>
      <w:r w:rsidR="004D03D8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unctions of G</w:t>
      </w:r>
      <w:r w:rsidR="00120D4A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overnance</w:t>
      </w:r>
      <w:r w:rsidR="004824EC" w:rsidRPr="008E623C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in Health</w:t>
      </w:r>
    </w:p>
    <w:p w14:paraId="68707F69" w14:textId="77777777" w:rsidR="00120D4A" w:rsidRDefault="00120D4A" w:rsidP="00ED6134">
      <w:pPr>
        <w:rPr>
          <w:b/>
          <w:bCs/>
        </w:rPr>
      </w:pPr>
    </w:p>
    <w:p w14:paraId="3ED4D48F" w14:textId="77777777" w:rsidR="006074F8" w:rsidRPr="00DC291D" w:rsidRDefault="006074F8" w:rsidP="008E623C">
      <w:pPr>
        <w:spacing w:after="120" w:line="300" w:lineRule="auto"/>
        <w:jc w:val="lef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Generating I</w:t>
      </w:r>
      <w:r w:rsidRPr="00DC291D">
        <w:rPr>
          <w:rFonts w:ascii="Century Gothic" w:hAnsi="Century Gothic"/>
          <w:b/>
          <w:bCs/>
        </w:rPr>
        <w:t>nformation/</w:t>
      </w:r>
      <w:r>
        <w:rPr>
          <w:rFonts w:ascii="Century Gothic" w:hAnsi="Century Gothic"/>
          <w:b/>
          <w:bCs/>
        </w:rPr>
        <w:t>Assessments</w:t>
      </w:r>
    </w:p>
    <w:p w14:paraId="05EB3DA1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Commissioned reports by independent researchers </w:t>
      </w:r>
    </w:p>
    <w:p w14:paraId="2CA80E80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Inter-ministerial fact-finding commissions or task forces; parliamentary investigations </w:t>
      </w:r>
    </w:p>
    <w:p w14:paraId="46410324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Periodic audits, public expenditure, and performance reviews </w:t>
      </w:r>
    </w:p>
    <w:p w14:paraId="47225039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Health-technology assessments </w:t>
      </w:r>
    </w:p>
    <w:p w14:paraId="0A6C73E0" w14:textId="3E160143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Internationally recognized tools for conducting a </w:t>
      </w:r>
      <w:r w:rsidR="00A83925">
        <w:rPr>
          <w:rFonts w:ascii="Garamond" w:hAnsi="Garamond" w:cs="EGHCG F+ Univers"/>
          <w:sz w:val="22"/>
          <w:szCs w:val="22"/>
        </w:rPr>
        <w:t>situation analysis</w:t>
      </w:r>
      <w:r w:rsidR="00FF04AA">
        <w:rPr>
          <w:rFonts w:ascii="Garamond" w:hAnsi="Garamond" w:cs="EGHCG F+ Univers"/>
          <w:sz w:val="22"/>
          <w:szCs w:val="22"/>
        </w:rPr>
        <w:t xml:space="preserve">, </w:t>
      </w:r>
      <w:r w:rsidR="00A83925">
        <w:rPr>
          <w:rFonts w:ascii="Garamond" w:hAnsi="Garamond" w:cs="EGHCG F+ Univers"/>
          <w:sz w:val="22"/>
          <w:szCs w:val="22"/>
        </w:rPr>
        <w:t xml:space="preserve">such as </w:t>
      </w:r>
      <w:r w:rsidR="00FF04AA">
        <w:rPr>
          <w:rFonts w:ascii="Garamond" w:hAnsi="Garamond" w:cs="EGHCG F+ Univers"/>
          <w:sz w:val="22"/>
          <w:szCs w:val="22"/>
        </w:rPr>
        <w:t xml:space="preserve">the Health Metrics Network’s </w:t>
      </w:r>
      <w:r w:rsidRPr="00DC291D">
        <w:rPr>
          <w:rFonts w:ascii="Garamond" w:hAnsi="Garamond" w:cs="EGHCG F+ Univers"/>
          <w:sz w:val="22"/>
          <w:szCs w:val="22"/>
        </w:rPr>
        <w:t>Health Information Systems Situation Assessment Tool</w:t>
      </w:r>
      <w:r w:rsidR="00A83925">
        <w:rPr>
          <w:rFonts w:ascii="Garamond" w:hAnsi="Garamond" w:cs="EGHCG F+ Univers"/>
          <w:sz w:val="22"/>
          <w:szCs w:val="22"/>
        </w:rPr>
        <w:t xml:space="preserve"> and </w:t>
      </w:r>
      <w:r w:rsidR="00FF04AA">
        <w:rPr>
          <w:rFonts w:ascii="Garamond" w:hAnsi="Garamond" w:cs="EGHCG F+ Univers"/>
          <w:sz w:val="22"/>
          <w:szCs w:val="22"/>
        </w:rPr>
        <w:t>the USAID-funded MEASURE Evaluation’s Performance of Routine Information System Management (</w:t>
      </w:r>
      <w:r w:rsidR="00A83925">
        <w:rPr>
          <w:rFonts w:ascii="Garamond" w:hAnsi="Garamond" w:cs="EGHCG F+ Univers"/>
          <w:sz w:val="22"/>
          <w:szCs w:val="22"/>
        </w:rPr>
        <w:t>PRISM</w:t>
      </w:r>
      <w:r w:rsidR="00FF04AA">
        <w:rPr>
          <w:rFonts w:ascii="Garamond" w:hAnsi="Garamond" w:cs="EGHCG F+ Univers"/>
          <w:sz w:val="22"/>
          <w:szCs w:val="22"/>
        </w:rPr>
        <w:t>)</w:t>
      </w:r>
      <w:r w:rsidR="00A83925">
        <w:rPr>
          <w:rFonts w:ascii="Garamond" w:hAnsi="Garamond" w:cs="EGHCG F+ Univers"/>
          <w:sz w:val="22"/>
          <w:szCs w:val="22"/>
        </w:rPr>
        <w:t xml:space="preserve"> tools</w:t>
      </w:r>
      <w:r w:rsidRPr="00DC291D">
        <w:rPr>
          <w:rFonts w:ascii="Garamond" w:hAnsi="Garamond" w:cs="EGHCG F+ Univers"/>
          <w:sz w:val="22"/>
          <w:szCs w:val="22"/>
        </w:rPr>
        <w:t xml:space="preserve"> </w:t>
      </w:r>
    </w:p>
    <w:p w14:paraId="7DA611B1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Health</w:t>
      </w:r>
      <w:r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impact assessment, environmental</w:t>
      </w:r>
      <w:r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impact assessment, geographic information systems, or health</w:t>
      </w:r>
      <w:r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 xml:space="preserve">needs assessment </w:t>
      </w:r>
    </w:p>
    <w:p w14:paraId="470E1082" w14:textId="0B6B7984" w:rsidR="006074F8" w:rsidRPr="00DC291D" w:rsidRDefault="006074F8" w:rsidP="008E623C">
      <w:pPr>
        <w:spacing w:after="24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Patient reported outcome measures (PROMs)  </w:t>
      </w:r>
    </w:p>
    <w:p w14:paraId="019C36AE" w14:textId="77777777" w:rsidR="006074F8" w:rsidRPr="00DC291D" w:rsidRDefault="006074F8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Formulating </w:t>
      </w:r>
      <w:r>
        <w:rPr>
          <w:rFonts w:ascii="Century Gothic" w:hAnsi="Century Gothic"/>
          <w:b/>
          <w:bCs/>
        </w:rPr>
        <w:t>P</w:t>
      </w:r>
      <w:r w:rsidRPr="00DC291D">
        <w:rPr>
          <w:rFonts w:ascii="Century Gothic" w:hAnsi="Century Gothic"/>
          <w:b/>
          <w:bCs/>
        </w:rPr>
        <w:t>olicy/</w:t>
      </w:r>
      <w:r>
        <w:rPr>
          <w:rFonts w:ascii="Century Gothic" w:hAnsi="Century Gothic"/>
          <w:b/>
          <w:bCs/>
        </w:rPr>
        <w:t>S</w:t>
      </w:r>
      <w:r w:rsidRPr="00DC291D">
        <w:rPr>
          <w:rFonts w:ascii="Century Gothic" w:hAnsi="Century Gothic"/>
          <w:b/>
          <w:bCs/>
        </w:rPr>
        <w:t xml:space="preserve">trategic </w:t>
      </w:r>
      <w:r>
        <w:rPr>
          <w:rFonts w:ascii="Century Gothic" w:hAnsi="Century Gothic"/>
          <w:b/>
          <w:bCs/>
        </w:rPr>
        <w:t>D</w:t>
      </w:r>
      <w:r w:rsidRPr="00DC291D">
        <w:rPr>
          <w:rFonts w:ascii="Century Gothic" w:hAnsi="Century Gothic"/>
          <w:b/>
          <w:bCs/>
        </w:rPr>
        <w:t>irection</w:t>
      </w:r>
      <w:r>
        <w:rPr>
          <w:rFonts w:ascii="Century Gothic" w:hAnsi="Century Gothic"/>
          <w:b/>
          <w:bCs/>
        </w:rPr>
        <w:t>s</w:t>
      </w:r>
      <w:r w:rsidRPr="00DC291D">
        <w:rPr>
          <w:rFonts w:ascii="Century Gothic" w:hAnsi="Century Gothic"/>
          <w:b/>
          <w:bCs/>
        </w:rPr>
        <w:t xml:space="preserve"> </w:t>
      </w:r>
    </w:p>
    <w:p w14:paraId="60EA5074" w14:textId="77777777" w:rsidR="006074F8" w:rsidRPr="00DC291D" w:rsidRDefault="006074F8" w:rsidP="008E623C">
      <w:pPr>
        <w:spacing w:after="8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National health plan </w:t>
      </w:r>
    </w:p>
    <w:p w14:paraId="181D6888" w14:textId="77777777" w:rsidR="006074F8" w:rsidRPr="00DC291D" w:rsidRDefault="006074F8" w:rsidP="008E623C">
      <w:pPr>
        <w:spacing w:after="8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National targets, goals, and performance measures </w:t>
      </w:r>
    </w:p>
    <w:p w14:paraId="3B3FE80C" w14:textId="77777777" w:rsidR="006074F8" w:rsidRPr="00DC291D" w:rsidRDefault="006074F8" w:rsidP="008E623C">
      <w:pPr>
        <w:spacing w:after="8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>Multi</w:t>
      </w:r>
      <w:r w:rsidRPr="00DC291D">
        <w:rPr>
          <w:rFonts w:ascii="Garamond" w:hAnsi="Garamond" w:cs="EGHCG F+ Univers"/>
          <w:sz w:val="22"/>
          <w:szCs w:val="22"/>
        </w:rPr>
        <w:t xml:space="preserve">year strategic plan </w:t>
      </w:r>
    </w:p>
    <w:p w14:paraId="1DB5E882" w14:textId="77777777" w:rsidR="006074F8" w:rsidRPr="00DC291D" w:rsidRDefault="006074F8" w:rsidP="008E623C">
      <w:pPr>
        <w:spacing w:after="8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Policies, operational guidelines, training manuals, protocols </w:t>
      </w:r>
    </w:p>
    <w:p w14:paraId="66A57607" w14:textId="77777777" w:rsidR="006074F8" w:rsidRPr="00DC291D" w:rsidRDefault="006074F8" w:rsidP="008E623C">
      <w:pPr>
        <w:spacing w:after="8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Medium-term expenditure frameworks and national health accounts </w:t>
      </w:r>
    </w:p>
    <w:p w14:paraId="4A33EB30" w14:textId="35216BC9" w:rsidR="006074F8" w:rsidRPr="008E623C" w:rsidRDefault="006074F8" w:rsidP="008E623C">
      <w:pPr>
        <w:spacing w:after="240" w:line="300" w:lineRule="auto"/>
        <w:ind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Target-and priority-setting techniques </w:t>
      </w:r>
    </w:p>
    <w:p w14:paraId="44D25B4A" w14:textId="77777777" w:rsidR="006074F8" w:rsidRPr="00DC291D" w:rsidRDefault="006074F8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Regulation </w:t>
      </w:r>
    </w:p>
    <w:p w14:paraId="55051154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Rules, procedures, decrees </w:t>
      </w:r>
    </w:p>
    <w:p w14:paraId="3E76AF7D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Codes of conduct </w:t>
      </w:r>
    </w:p>
    <w:p w14:paraId="6A371E6E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Performance standards</w:t>
      </w:r>
      <w:r>
        <w:rPr>
          <w:rFonts w:ascii="Garamond" w:hAnsi="Garamond" w:cs="EGHCG F+ Univers"/>
          <w:sz w:val="22"/>
          <w:szCs w:val="22"/>
        </w:rPr>
        <w:t>;</w:t>
      </w:r>
      <w:r w:rsidRPr="00DC291D">
        <w:rPr>
          <w:rFonts w:ascii="Garamond" w:hAnsi="Garamond" w:cs="EGHCG F+ Univers"/>
          <w:sz w:val="22"/>
          <w:szCs w:val="22"/>
        </w:rPr>
        <w:t xml:space="preserve"> accreditation licensing/certification  </w:t>
      </w:r>
    </w:p>
    <w:p w14:paraId="5F9761DD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Statutory bodies (such as national regulatory agency) </w:t>
      </w:r>
    </w:p>
    <w:p w14:paraId="4D923772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“Hard laws” (binding legislation)</w:t>
      </w:r>
    </w:p>
    <w:p w14:paraId="498BA243" w14:textId="10B08203" w:rsidR="00FF04AA" w:rsidRPr="008E623C" w:rsidRDefault="006074F8" w:rsidP="008E623C">
      <w:pPr>
        <w:spacing w:after="24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“Soft laws” (no</w:t>
      </w:r>
      <w:r>
        <w:rPr>
          <w:rFonts w:ascii="Garamond" w:hAnsi="Garamond" w:cs="EGHCG F+ Univers"/>
          <w:sz w:val="22"/>
          <w:szCs w:val="22"/>
        </w:rPr>
        <w:t>n</w:t>
      </w:r>
      <w:r w:rsidRPr="00DC291D">
        <w:rPr>
          <w:rFonts w:ascii="Garamond" w:hAnsi="Garamond" w:cs="EGHCG F+ Univers"/>
          <w:sz w:val="22"/>
          <w:szCs w:val="22"/>
        </w:rPr>
        <w:t xml:space="preserve">binding recommendations) </w:t>
      </w:r>
    </w:p>
    <w:p w14:paraId="0CDCBDBC" w14:textId="77777777" w:rsidR="00C46AA7" w:rsidRPr="00DC291D" w:rsidRDefault="00C46AA7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Accountability </w:t>
      </w:r>
    </w:p>
    <w:p w14:paraId="0B677D2A" w14:textId="77777777" w:rsidR="00C46AA7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Performance-based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contracts </w:t>
      </w:r>
    </w:p>
    <w:p w14:paraId="1C3959A6" w14:textId="6D3B3F61" w:rsidR="00C46AA7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Fair competitive elections</w:t>
      </w:r>
      <w:r w:rsidR="00FF04AA">
        <w:rPr>
          <w:rFonts w:ascii="Garamond" w:hAnsi="Garamond" w:cs="EGHCG F+ Univers"/>
          <w:sz w:val="22"/>
          <w:szCs w:val="22"/>
        </w:rPr>
        <w:t>;</w:t>
      </w:r>
      <w:r w:rsidR="00FF04AA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systems of judicial redress</w:t>
      </w:r>
      <w:r w:rsidR="00301FBE">
        <w:rPr>
          <w:rFonts w:ascii="Garamond" w:hAnsi="Garamond" w:cs="EGHCG F+ Univers"/>
          <w:sz w:val="22"/>
          <w:szCs w:val="22"/>
        </w:rPr>
        <w:t>;</w:t>
      </w:r>
      <w:r w:rsidRPr="00DC291D">
        <w:rPr>
          <w:rFonts w:ascii="Garamond" w:hAnsi="Garamond" w:cs="EGHCG F+ Univers"/>
          <w:sz w:val="22"/>
          <w:szCs w:val="22"/>
        </w:rPr>
        <w:t xml:space="preserve"> procedures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to combat corruption </w:t>
      </w:r>
    </w:p>
    <w:p w14:paraId="760B0809" w14:textId="5E786ECD" w:rsidR="006074F8" w:rsidRPr="008E623C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Pay-for-performance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techniques </w:t>
      </w:r>
    </w:p>
    <w:p w14:paraId="784973CC" w14:textId="77777777" w:rsidR="00856355" w:rsidRDefault="00856355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</w:p>
    <w:p w14:paraId="20403C27" w14:textId="410502CE" w:rsidR="006074F8" w:rsidRPr="00DC291D" w:rsidRDefault="006074F8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lastRenderedPageBreak/>
        <w:t xml:space="preserve">Transparency </w:t>
      </w:r>
    </w:p>
    <w:p w14:paraId="5B5079CF" w14:textId="77777777" w:rsidR="006074F8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Watchdog committees (facility boards, health authority, ombudsman, parliamentary committees)</w:t>
      </w:r>
    </w:p>
    <w:p w14:paraId="395DEBA4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Releasing performance information to providers and the public </w:t>
      </w:r>
    </w:p>
    <w:p w14:paraId="6325CC91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Inspectorates</w:t>
      </w:r>
      <w:r>
        <w:rPr>
          <w:rFonts w:ascii="Garamond" w:hAnsi="Garamond" w:cs="EGHCG F+ Univers"/>
          <w:sz w:val="22"/>
          <w:szCs w:val="22"/>
        </w:rPr>
        <w:t>;</w:t>
      </w:r>
      <w:r w:rsidRPr="00DC291D">
        <w:rPr>
          <w:rFonts w:ascii="Garamond" w:hAnsi="Garamond" w:cs="EGHCG F+ Univers"/>
          <w:sz w:val="22"/>
          <w:szCs w:val="22"/>
        </w:rPr>
        <w:t xml:space="preserve"> fact-finding commissions </w:t>
      </w:r>
    </w:p>
    <w:p w14:paraId="3C25B649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>Publicl</w:t>
      </w:r>
      <w:r w:rsidRPr="00DC291D">
        <w:rPr>
          <w:rFonts w:ascii="Garamond" w:hAnsi="Garamond" w:cs="EGHCG F+ Univers"/>
          <w:sz w:val="22"/>
          <w:szCs w:val="22"/>
        </w:rPr>
        <w:t xml:space="preserve">y available budgetary and financial information </w:t>
      </w:r>
    </w:p>
    <w:p w14:paraId="0DCEDFAC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Citizen report cards </w:t>
      </w:r>
    </w:p>
    <w:p w14:paraId="54677218" w14:textId="0D755430" w:rsidR="00332E58" w:rsidRPr="00DC291D" w:rsidRDefault="008E623C" w:rsidP="008E623C">
      <w:pPr>
        <w:spacing w:after="24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 xml:space="preserve">Conflict-of-interest boards </w:t>
      </w:r>
    </w:p>
    <w:p w14:paraId="1F90EDCB" w14:textId="77777777" w:rsidR="00C46AA7" w:rsidRPr="00DC291D" w:rsidRDefault="00C46AA7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Partnerships </w:t>
      </w:r>
    </w:p>
    <w:p w14:paraId="15FF4DE1" w14:textId="77777777" w:rsidR="00C46AA7" w:rsidRPr="00DC291D" w:rsidRDefault="00D0605B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>Inter</w:t>
      </w:r>
      <w:r w:rsidR="00C46AA7" w:rsidRPr="00DC291D">
        <w:rPr>
          <w:rFonts w:ascii="Garamond" w:hAnsi="Garamond" w:cs="EGHCG F+ Univers"/>
          <w:sz w:val="22"/>
          <w:szCs w:val="22"/>
        </w:rPr>
        <w:t>ministerial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C46AA7" w:rsidRPr="00DC291D">
        <w:rPr>
          <w:rFonts w:ascii="Garamond" w:hAnsi="Garamond" w:cs="EGHCG F+ Univers"/>
          <w:sz w:val="22"/>
          <w:szCs w:val="22"/>
        </w:rPr>
        <w:t>and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C46AA7" w:rsidRPr="00DC291D">
        <w:rPr>
          <w:rFonts w:ascii="Garamond" w:hAnsi="Garamond" w:cs="EGHCG F+ Univers"/>
          <w:sz w:val="22"/>
          <w:szCs w:val="22"/>
        </w:rPr>
        <w:t>interdepartmental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committees </w:t>
      </w:r>
    </w:p>
    <w:p w14:paraId="7E5B6F00" w14:textId="77777777" w:rsidR="00C46AA7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Public-private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taskforce </w:t>
      </w:r>
    </w:p>
    <w:p w14:paraId="14BE5108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Integrated budgets and accounting,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co-funding arrangements</w:t>
      </w:r>
      <w:r w:rsidR="00301FBE">
        <w:rPr>
          <w:rFonts w:ascii="Garamond" w:hAnsi="Garamond" w:cs="EGHCG F+ Univers"/>
          <w:sz w:val="22"/>
          <w:szCs w:val="22"/>
        </w:rPr>
        <w:t>,</w:t>
      </w:r>
      <w:r w:rsidRPr="00DC291D">
        <w:rPr>
          <w:rFonts w:ascii="Garamond" w:hAnsi="Garamond" w:cs="EGHCG F+ Univers"/>
          <w:sz w:val="22"/>
          <w:szCs w:val="22"/>
        </w:rPr>
        <w:t xml:space="preserve"> or earmarked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grants </w:t>
      </w:r>
      <w:r w:rsidRPr="00DC291D">
        <w:rPr>
          <w:rFonts w:ascii="Garamond" w:hAnsi="Garamond" w:cs="EGHCG F+ Univers"/>
          <w:sz w:val="22"/>
          <w:szCs w:val="22"/>
        </w:rPr>
        <w:t xml:space="preserve"> </w:t>
      </w:r>
    </w:p>
    <w:p w14:paraId="64376776" w14:textId="77777777" w:rsidR="00C46AA7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Cross-cutting information education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systems </w:t>
      </w:r>
      <w:r w:rsidRPr="00DC291D">
        <w:rPr>
          <w:rFonts w:ascii="Garamond" w:hAnsi="Garamond" w:cs="EGHCG F+ Univers"/>
          <w:sz w:val="22"/>
          <w:szCs w:val="22"/>
        </w:rPr>
        <w:t xml:space="preserve"> </w:t>
      </w:r>
    </w:p>
    <w:p w14:paraId="3C89059D" w14:textId="77777777" w:rsidR="00C46AA7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Common workforce tr</w:t>
      </w:r>
      <w:r w:rsidR="00332E58" w:rsidRPr="00DC291D">
        <w:rPr>
          <w:rFonts w:ascii="Garamond" w:hAnsi="Garamond" w:cs="EGHCG F+ Univers"/>
          <w:sz w:val="22"/>
          <w:szCs w:val="22"/>
        </w:rPr>
        <w:t xml:space="preserve">aining, qualifications, support, </w:t>
      </w:r>
      <w:r w:rsidRPr="00DC291D">
        <w:rPr>
          <w:rFonts w:ascii="Garamond" w:hAnsi="Garamond" w:cs="EGHCG F+ Univers"/>
          <w:sz w:val="22"/>
          <w:szCs w:val="22"/>
        </w:rPr>
        <w:t xml:space="preserve">and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advice </w:t>
      </w:r>
    </w:p>
    <w:p w14:paraId="4A1062DB" w14:textId="1B1502F3" w:rsidR="006074F8" w:rsidRPr="008E623C" w:rsidRDefault="00C46AA7" w:rsidP="008E623C">
      <w:pPr>
        <w:spacing w:after="24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Ad-hoc, initiative-specific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20D4A" w:rsidRPr="00DC291D">
        <w:rPr>
          <w:rFonts w:ascii="Garamond" w:hAnsi="Garamond" w:cs="EGHCG F+ Univers"/>
          <w:sz w:val="22"/>
          <w:szCs w:val="22"/>
        </w:rPr>
        <w:t xml:space="preserve">committees </w:t>
      </w:r>
      <w:r w:rsidRPr="00DC291D">
        <w:rPr>
          <w:rFonts w:ascii="Garamond" w:hAnsi="Garamond" w:cs="EGHCG F+ Univers"/>
          <w:sz w:val="22"/>
          <w:szCs w:val="22"/>
        </w:rPr>
        <w:t xml:space="preserve"> </w:t>
      </w:r>
    </w:p>
    <w:p w14:paraId="71AD4698" w14:textId="77777777" w:rsidR="006074F8" w:rsidRPr="00DC291D" w:rsidRDefault="006074F8" w:rsidP="008E623C">
      <w:pPr>
        <w:spacing w:after="80" w:line="300" w:lineRule="auto"/>
        <w:ind w:left="90" w:hanging="90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Participation and Consensus </w:t>
      </w:r>
    </w:p>
    <w:p w14:paraId="1F7A29A9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Open meetings, public workshops, national forums, citizen advisory committees, citizen juries </w:t>
      </w:r>
    </w:p>
    <w:p w14:paraId="2C9CF65D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Satisfaction surveys </w:t>
      </w:r>
    </w:p>
    <w:p w14:paraId="1CA40995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Sector-wide approaches </w:t>
      </w:r>
    </w:p>
    <w:p w14:paraId="5C104AA8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Consensus conferences </w:t>
      </w:r>
    </w:p>
    <w:p w14:paraId="780CEB57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National health forums </w:t>
      </w:r>
    </w:p>
    <w:p w14:paraId="7058AD6E" w14:textId="692B7F77" w:rsidR="006074F8" w:rsidRPr="008E623C" w:rsidRDefault="006074F8" w:rsidP="008E623C">
      <w:pPr>
        <w:spacing w:after="24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Formal consultations in drafting legislation</w:t>
      </w:r>
    </w:p>
    <w:p w14:paraId="15023685" w14:textId="77777777" w:rsidR="006074F8" w:rsidRPr="00DC291D" w:rsidRDefault="006074F8" w:rsidP="008E623C">
      <w:pPr>
        <w:spacing w:after="80" w:line="300" w:lineRule="auto"/>
        <w:jc w:val="left"/>
        <w:rPr>
          <w:rFonts w:ascii="Century Gothic" w:hAnsi="Century Gothic" w:cs="EGHCG F+ Univers"/>
          <w:b/>
        </w:rPr>
      </w:pPr>
      <w:r w:rsidRPr="00DC291D">
        <w:rPr>
          <w:rFonts w:ascii="Century Gothic" w:hAnsi="Century Gothic" w:cs="EGHCG F+ Univers"/>
          <w:b/>
        </w:rPr>
        <w:t>Common Tools Used to Enable Types of R</w:t>
      </w:r>
      <w:r>
        <w:rPr>
          <w:rFonts w:ascii="Century Gothic" w:hAnsi="Century Gothic" w:cs="EGHCG F+ Univers"/>
          <w:b/>
        </w:rPr>
        <w:t>elationships</w:t>
      </w:r>
    </w:p>
    <w:p w14:paraId="10F252FA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Century Gothic" w:hAnsi="Century Gothic" w:cs="EGHCG F+ Univers"/>
        </w:rPr>
      </w:pPr>
      <w:r w:rsidRPr="00DC291D">
        <w:rPr>
          <w:rFonts w:ascii="Century Gothic" w:hAnsi="Century Gothic" w:cs="EGHCG F+ Univers"/>
        </w:rPr>
        <w:t>Control</w:t>
      </w:r>
    </w:p>
    <w:p w14:paraId="3B65FF50" w14:textId="77777777" w:rsidR="006074F8" w:rsidRPr="00DC291D" w:rsidRDefault="006074F8" w:rsidP="008E623C">
      <w:pPr>
        <w:spacing w:after="80" w:line="300" w:lineRule="auto"/>
        <w:ind w:left="72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Contracts </w:t>
      </w:r>
    </w:p>
    <w:p w14:paraId="53006645" w14:textId="77777777" w:rsidR="006074F8" w:rsidRPr="00DC291D" w:rsidRDefault="006074F8" w:rsidP="008E623C">
      <w:pPr>
        <w:spacing w:after="80" w:line="300" w:lineRule="auto"/>
        <w:ind w:left="72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Laws and declarations </w:t>
      </w:r>
    </w:p>
    <w:p w14:paraId="51604679" w14:textId="77777777" w:rsidR="006074F8" w:rsidRPr="00DC291D" w:rsidRDefault="006074F8" w:rsidP="008E623C">
      <w:pPr>
        <w:spacing w:after="80" w:line="300" w:lineRule="auto"/>
        <w:ind w:left="72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Market-based instruments (taxes, charges, fees) </w:t>
      </w:r>
    </w:p>
    <w:p w14:paraId="757C6EE3" w14:textId="77777777" w:rsidR="006074F8" w:rsidRPr="00DC291D" w:rsidRDefault="006074F8" w:rsidP="008E623C">
      <w:pPr>
        <w:spacing w:after="80" w:line="300" w:lineRule="auto"/>
        <w:ind w:left="72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Regular internal/external audits (financial, clinical, quality)</w:t>
      </w:r>
    </w:p>
    <w:p w14:paraId="24875AC3" w14:textId="44C5E3C1" w:rsidR="006074F8" w:rsidRPr="008E623C" w:rsidRDefault="006074F8" w:rsidP="008E623C">
      <w:pPr>
        <w:spacing w:after="240" w:line="300" w:lineRule="auto"/>
        <w:ind w:left="72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Capacity to reward or sanction performance of individuals and organizations </w:t>
      </w:r>
    </w:p>
    <w:p w14:paraId="77B1BA1C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Century Gothic" w:hAnsi="Century Gothic" w:cs="EGHCG F+ Univers"/>
        </w:rPr>
      </w:pPr>
      <w:r w:rsidRPr="00DC291D">
        <w:rPr>
          <w:rFonts w:ascii="Century Gothic" w:hAnsi="Century Gothic" w:cs="EGHCG F+ Univers"/>
        </w:rPr>
        <w:t>Coordination</w:t>
      </w:r>
    </w:p>
    <w:p w14:paraId="783DCB1D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Common workforce training, qualifications, support, and advice </w:t>
      </w:r>
    </w:p>
    <w:p w14:paraId="75A61CFB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Professional advisory committees (national, regional, local, and institutional) </w:t>
      </w:r>
    </w:p>
    <w:p w14:paraId="00B2B65C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Joint strategic planning </w:t>
      </w:r>
    </w:p>
    <w:p w14:paraId="26E59240" w14:textId="76BF2FB0" w:rsidR="006074F8" w:rsidRPr="008E623C" w:rsidRDefault="006074F8" w:rsidP="008E623C">
      <w:pPr>
        <w:spacing w:after="24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Financial measures (cost sharing, resource pooling, or</w:t>
      </w:r>
      <w:r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 xml:space="preserve">integrated budgets) </w:t>
      </w:r>
    </w:p>
    <w:p w14:paraId="558CBF7A" w14:textId="77777777" w:rsidR="008E623C" w:rsidRDefault="008E623C">
      <w:pPr>
        <w:rPr>
          <w:rFonts w:ascii="Century Gothic" w:hAnsi="Century Gothic" w:cs="EGHCG F+ Univers"/>
        </w:rPr>
      </w:pPr>
      <w:r>
        <w:rPr>
          <w:rFonts w:ascii="Century Gothic" w:hAnsi="Century Gothic" w:cs="EGHCG F+ Univers"/>
        </w:rPr>
        <w:br w:type="page"/>
      </w:r>
    </w:p>
    <w:p w14:paraId="6C4ED80F" w14:textId="74E37858" w:rsidR="006074F8" w:rsidRPr="00DC291D" w:rsidRDefault="006074F8" w:rsidP="008E623C">
      <w:pPr>
        <w:spacing w:after="80" w:line="300" w:lineRule="auto"/>
        <w:ind w:firstLine="360"/>
        <w:jc w:val="left"/>
        <w:rPr>
          <w:rFonts w:ascii="Century Gothic" w:hAnsi="Century Gothic" w:cs="EGHCG F+ Univers"/>
        </w:rPr>
      </w:pPr>
      <w:r w:rsidRPr="00DC291D">
        <w:rPr>
          <w:rFonts w:ascii="Century Gothic" w:hAnsi="Century Gothic" w:cs="EGHCG F+ Univers"/>
        </w:rPr>
        <w:lastRenderedPageBreak/>
        <w:t>Collaboration</w:t>
      </w:r>
    </w:p>
    <w:p w14:paraId="27C3AD9D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National partnership platforms </w:t>
      </w:r>
    </w:p>
    <w:p w14:paraId="18E824BF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Inter-ministerial and interdepartmental committees </w:t>
      </w:r>
    </w:p>
    <w:p w14:paraId="1CD67C85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>Co-</w:t>
      </w:r>
      <w:r w:rsidRPr="00DC291D">
        <w:rPr>
          <w:rFonts w:ascii="Garamond" w:hAnsi="Garamond" w:cs="EGHCG F+ Univers"/>
          <w:sz w:val="22"/>
          <w:szCs w:val="22"/>
        </w:rPr>
        <w:t xml:space="preserve">funding agreements and earmarked grants </w:t>
      </w:r>
    </w:p>
    <w:p w14:paraId="6B73B894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 xml:space="preserve">Ad </w:t>
      </w:r>
      <w:r w:rsidRPr="00DC291D">
        <w:rPr>
          <w:rFonts w:ascii="Garamond" w:hAnsi="Garamond" w:cs="EGHCG F+ Univers"/>
          <w:sz w:val="22"/>
          <w:szCs w:val="22"/>
        </w:rPr>
        <w:t xml:space="preserve">hoc committees on specific initiatives </w:t>
      </w:r>
    </w:p>
    <w:p w14:paraId="440770AA" w14:textId="1F956535" w:rsidR="006074F8" w:rsidRPr="008E623C" w:rsidRDefault="006074F8" w:rsidP="008E623C">
      <w:pPr>
        <w:spacing w:after="24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Partnerships with civil society or </w:t>
      </w:r>
      <w:r>
        <w:rPr>
          <w:rFonts w:ascii="Garamond" w:hAnsi="Garamond" w:cs="EGHCG F+ Univers"/>
          <w:sz w:val="22"/>
          <w:szCs w:val="22"/>
        </w:rPr>
        <w:t>nongovernmental organization</w:t>
      </w:r>
      <w:r w:rsidRPr="00DC291D">
        <w:rPr>
          <w:rFonts w:ascii="Garamond" w:hAnsi="Garamond" w:cs="EGHCG F+ Univers"/>
          <w:sz w:val="22"/>
          <w:szCs w:val="22"/>
        </w:rPr>
        <w:t xml:space="preserve">s </w:t>
      </w:r>
    </w:p>
    <w:p w14:paraId="6C7A1581" w14:textId="77777777" w:rsidR="006074F8" w:rsidRPr="00DC291D" w:rsidRDefault="006074F8" w:rsidP="008E623C">
      <w:pPr>
        <w:spacing w:after="80" w:line="300" w:lineRule="auto"/>
        <w:ind w:left="360"/>
        <w:jc w:val="left"/>
        <w:rPr>
          <w:rFonts w:ascii="Garamond" w:hAnsi="Garamond" w:cs="EGHCG F+ Univers"/>
          <w:b/>
          <w:sz w:val="22"/>
          <w:szCs w:val="22"/>
        </w:rPr>
      </w:pPr>
      <w:r w:rsidRPr="00DC291D">
        <w:rPr>
          <w:rFonts w:ascii="Century Gothic" w:hAnsi="Century Gothic" w:cs="EGHCG F+ Univers"/>
        </w:rPr>
        <w:t>Communication</w:t>
      </w:r>
    </w:p>
    <w:p w14:paraId="2297D759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Opportunities for public consultation or feedback </w:t>
      </w:r>
    </w:p>
    <w:p w14:paraId="362D30F2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User-friendly complaint system </w:t>
      </w:r>
    </w:p>
    <w:p w14:paraId="7EBB95EB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Satisfaction surveys </w:t>
      </w:r>
    </w:p>
    <w:p w14:paraId="7D7348AF" w14:textId="77777777" w:rsidR="006074F8" w:rsidRPr="00DC291D" w:rsidRDefault="006074F8" w:rsidP="008E623C">
      <w:pPr>
        <w:spacing w:after="8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>
        <w:rPr>
          <w:rFonts w:ascii="Garamond" w:hAnsi="Garamond" w:cs="EGHCG F+ Univers"/>
          <w:sz w:val="22"/>
          <w:szCs w:val="22"/>
        </w:rPr>
        <w:t>Public</w:t>
      </w:r>
      <w:r w:rsidRPr="00DC291D">
        <w:rPr>
          <w:rFonts w:ascii="Garamond" w:hAnsi="Garamond" w:cs="EGHCG F+ Univers"/>
          <w:sz w:val="22"/>
          <w:szCs w:val="22"/>
        </w:rPr>
        <w:t xml:space="preserve">ly available budgetary and financial information </w:t>
      </w:r>
    </w:p>
    <w:p w14:paraId="2029CE6B" w14:textId="415855E1" w:rsidR="006074F8" w:rsidRPr="00DC291D" w:rsidRDefault="006074F8" w:rsidP="008E623C">
      <w:pPr>
        <w:spacing w:after="240" w:line="300" w:lineRule="auto"/>
        <w:ind w:left="360" w:firstLine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 xml:space="preserve">Consensus conferences </w:t>
      </w:r>
    </w:p>
    <w:p w14:paraId="7EE0AD3E" w14:textId="77777777" w:rsidR="00ED6134" w:rsidRPr="00DC291D" w:rsidRDefault="00C46AA7" w:rsidP="008E623C">
      <w:pPr>
        <w:spacing w:after="80" w:line="300" w:lineRule="auto"/>
        <w:jc w:val="left"/>
        <w:rPr>
          <w:rFonts w:ascii="Century Gothic" w:hAnsi="Century Gothic"/>
          <w:b/>
          <w:bCs/>
        </w:rPr>
      </w:pPr>
      <w:r w:rsidRPr="00DC291D">
        <w:rPr>
          <w:rFonts w:ascii="Century Gothic" w:hAnsi="Century Gothic"/>
          <w:b/>
          <w:bCs/>
        </w:rPr>
        <w:t xml:space="preserve">Organizational </w:t>
      </w:r>
      <w:r w:rsidR="00DC291D">
        <w:rPr>
          <w:rFonts w:ascii="Century Gothic" w:hAnsi="Century Gothic"/>
          <w:b/>
          <w:bCs/>
        </w:rPr>
        <w:t>A</w:t>
      </w:r>
      <w:r w:rsidRPr="00DC291D">
        <w:rPr>
          <w:rFonts w:ascii="Century Gothic" w:hAnsi="Century Gothic"/>
          <w:b/>
          <w:bCs/>
        </w:rPr>
        <w:t>dequacy/</w:t>
      </w:r>
      <w:r w:rsidR="00DC291D">
        <w:rPr>
          <w:rFonts w:ascii="Century Gothic" w:hAnsi="Century Gothic"/>
          <w:b/>
          <w:bCs/>
        </w:rPr>
        <w:t>S</w:t>
      </w:r>
      <w:r w:rsidRPr="00DC291D">
        <w:rPr>
          <w:rFonts w:ascii="Century Gothic" w:hAnsi="Century Gothic"/>
          <w:b/>
          <w:bCs/>
        </w:rPr>
        <w:t>ystem</w:t>
      </w:r>
      <w:r w:rsidR="00ED6134" w:rsidRPr="00DC291D">
        <w:rPr>
          <w:rFonts w:ascii="Century Gothic" w:hAnsi="Century Gothic"/>
          <w:b/>
          <w:bCs/>
        </w:rPr>
        <w:t xml:space="preserve"> </w:t>
      </w:r>
      <w:r w:rsidR="00DC291D">
        <w:rPr>
          <w:rFonts w:ascii="Century Gothic" w:hAnsi="Century Gothic"/>
          <w:b/>
          <w:bCs/>
        </w:rPr>
        <w:t>D</w:t>
      </w:r>
      <w:r w:rsidRPr="00DC291D">
        <w:rPr>
          <w:rFonts w:ascii="Century Gothic" w:hAnsi="Century Gothic"/>
          <w:b/>
          <w:bCs/>
        </w:rPr>
        <w:t xml:space="preserve">esign </w:t>
      </w:r>
    </w:p>
    <w:p w14:paraId="0C632394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Implementation or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annual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operational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plan </w:t>
      </w:r>
    </w:p>
    <w:p w14:paraId="5258A893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Monitoring and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evaluation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plan </w:t>
      </w:r>
    </w:p>
    <w:p w14:paraId="2E47F801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Training/personnel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manuals </w:t>
      </w:r>
    </w:p>
    <w:p w14:paraId="1A0207B9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Mission/vision statement</w:t>
      </w:r>
      <w:r w:rsidR="00301FBE">
        <w:rPr>
          <w:rFonts w:ascii="Garamond" w:hAnsi="Garamond" w:cs="EGHCG F+ Univers"/>
          <w:sz w:val="22"/>
          <w:szCs w:val="22"/>
        </w:rPr>
        <w:t>;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organizational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chart </w:t>
      </w:r>
    </w:p>
    <w:p w14:paraId="5AEEF103" w14:textId="0E10DE41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On-the-spot training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measures </w:t>
      </w:r>
    </w:p>
    <w:p w14:paraId="1BA0F1C2" w14:textId="77777777" w:rsidR="00ED6134" w:rsidRPr="00DC291D" w:rsidRDefault="00C46AA7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  <w:r w:rsidRPr="00DC291D">
        <w:rPr>
          <w:rFonts w:ascii="Garamond" w:hAnsi="Garamond" w:cs="EGHCG F+ Univers"/>
          <w:sz w:val="22"/>
          <w:szCs w:val="22"/>
        </w:rPr>
        <w:t>Peer-to-peer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Pr="00DC291D">
        <w:rPr>
          <w:rFonts w:ascii="Garamond" w:hAnsi="Garamond" w:cs="EGHCG F+ Univers"/>
          <w:sz w:val="22"/>
          <w:szCs w:val="22"/>
        </w:rPr>
        <w:t>learning</w:t>
      </w:r>
      <w:r w:rsidR="00ED6134" w:rsidRPr="00DC291D">
        <w:rPr>
          <w:rFonts w:ascii="Garamond" w:hAnsi="Garamond" w:cs="EGHCG F+ Univers"/>
          <w:sz w:val="22"/>
          <w:szCs w:val="22"/>
        </w:rPr>
        <w:t xml:space="preserve"> </w:t>
      </w:r>
      <w:r w:rsidR="001B0666" w:rsidRPr="00DC291D">
        <w:rPr>
          <w:rFonts w:ascii="Garamond" w:hAnsi="Garamond" w:cs="EGHCG F+ Univers"/>
          <w:sz w:val="22"/>
          <w:szCs w:val="22"/>
        </w:rPr>
        <w:t xml:space="preserve">programs </w:t>
      </w:r>
    </w:p>
    <w:p w14:paraId="08676803" w14:textId="77777777" w:rsidR="003728D2" w:rsidRPr="00DC291D" w:rsidRDefault="003728D2" w:rsidP="008E623C">
      <w:pPr>
        <w:spacing w:after="80" w:line="300" w:lineRule="auto"/>
        <w:ind w:left="360"/>
        <w:jc w:val="left"/>
        <w:rPr>
          <w:rFonts w:ascii="Garamond" w:hAnsi="Garamond" w:cs="EGHCG F+ Univers"/>
          <w:sz w:val="22"/>
          <w:szCs w:val="22"/>
        </w:rPr>
      </w:pPr>
    </w:p>
    <w:p w14:paraId="020DE7FA" w14:textId="14FB567D" w:rsidR="00C94DC6" w:rsidRPr="008D6A8C" w:rsidRDefault="00C94DC6" w:rsidP="008E623C">
      <w:pPr>
        <w:spacing w:after="80" w:line="300" w:lineRule="auto"/>
        <w:contextualSpacing/>
        <w:jc w:val="left"/>
        <w:rPr>
          <w:rFonts w:ascii="Century Gothic" w:eastAsia="Times New Roman" w:hAnsi="Century Gothic"/>
          <w:sz w:val="16"/>
          <w:szCs w:val="16"/>
        </w:rPr>
      </w:pPr>
      <w:r w:rsidRPr="008D6A8C">
        <w:rPr>
          <w:rFonts w:ascii="Century Gothic" w:hAnsi="Century Gothic" w:cs="EGHCG F+ Univers"/>
          <w:sz w:val="16"/>
          <w:szCs w:val="16"/>
        </w:rPr>
        <w:t xml:space="preserve">Source: </w:t>
      </w:r>
      <w:r w:rsidRPr="008D6A8C">
        <w:rPr>
          <w:rFonts w:ascii="Century Gothic" w:eastAsia="Times New Roman" w:hAnsi="Century Gothic"/>
          <w:sz w:val="16"/>
          <w:szCs w:val="16"/>
        </w:rPr>
        <w:t>Barbazza</w:t>
      </w:r>
      <w:r w:rsidR="00332E58" w:rsidRPr="008D6A8C">
        <w:rPr>
          <w:rFonts w:ascii="Century Gothic" w:eastAsia="Times New Roman" w:hAnsi="Century Gothic"/>
          <w:sz w:val="16"/>
          <w:szCs w:val="16"/>
        </w:rPr>
        <w:t>,</w:t>
      </w:r>
      <w:r w:rsidRPr="008D6A8C">
        <w:rPr>
          <w:rFonts w:ascii="Century Gothic" w:eastAsia="Times New Roman" w:hAnsi="Century Gothic"/>
          <w:sz w:val="16"/>
          <w:szCs w:val="16"/>
        </w:rPr>
        <w:t xml:space="preserve"> E. </w:t>
      </w:r>
      <w:r w:rsidR="00DC291D" w:rsidRPr="008D6A8C">
        <w:rPr>
          <w:rFonts w:ascii="Century Gothic" w:eastAsia="Times New Roman" w:hAnsi="Century Gothic"/>
          <w:sz w:val="16"/>
          <w:szCs w:val="16"/>
        </w:rPr>
        <w:t>&amp;</w:t>
      </w:r>
      <w:r w:rsidRPr="008D6A8C">
        <w:rPr>
          <w:rFonts w:ascii="Century Gothic" w:eastAsia="Times New Roman" w:hAnsi="Century Gothic"/>
          <w:sz w:val="16"/>
          <w:szCs w:val="16"/>
        </w:rPr>
        <w:t xml:space="preserve"> Tello, J. </w:t>
      </w:r>
      <w:r w:rsidR="00DC291D" w:rsidRPr="008D6A8C">
        <w:rPr>
          <w:rFonts w:ascii="Century Gothic" w:eastAsia="Times New Roman" w:hAnsi="Century Gothic"/>
          <w:sz w:val="16"/>
          <w:szCs w:val="16"/>
        </w:rPr>
        <w:t xml:space="preserve">(2014). </w:t>
      </w:r>
      <w:r w:rsidRPr="008D6A8C">
        <w:rPr>
          <w:rFonts w:ascii="Century Gothic" w:eastAsia="Times New Roman" w:hAnsi="Century Gothic"/>
          <w:sz w:val="16"/>
          <w:szCs w:val="16"/>
        </w:rPr>
        <w:t xml:space="preserve">A review of health governance: </w:t>
      </w:r>
      <w:r w:rsidR="00FF04AA" w:rsidRPr="008D6A8C">
        <w:rPr>
          <w:rFonts w:ascii="Century Gothic" w:eastAsia="Times New Roman" w:hAnsi="Century Gothic"/>
          <w:sz w:val="16"/>
          <w:szCs w:val="16"/>
        </w:rPr>
        <w:t>Definitions</w:t>
      </w:r>
      <w:r w:rsidRPr="008D6A8C">
        <w:rPr>
          <w:rFonts w:ascii="Century Gothic" w:eastAsia="Times New Roman" w:hAnsi="Century Gothic"/>
          <w:sz w:val="16"/>
          <w:szCs w:val="16"/>
        </w:rPr>
        <w:t xml:space="preserve">, dimensions, and tools to govern. </w:t>
      </w:r>
      <w:r w:rsidRPr="008D6A8C">
        <w:rPr>
          <w:rFonts w:ascii="Century Gothic" w:eastAsia="Times New Roman" w:hAnsi="Century Gothic"/>
          <w:i/>
          <w:sz w:val="16"/>
          <w:szCs w:val="16"/>
        </w:rPr>
        <w:t>Health Policy</w:t>
      </w:r>
      <w:r w:rsidR="00DC291D" w:rsidRPr="008D6A8C">
        <w:rPr>
          <w:rFonts w:ascii="Century Gothic" w:eastAsia="Times New Roman" w:hAnsi="Century Gothic"/>
          <w:sz w:val="16"/>
          <w:szCs w:val="16"/>
        </w:rPr>
        <w:t>, 1</w:t>
      </w:r>
      <w:r w:rsidR="00301FBE" w:rsidRPr="008D6A8C">
        <w:rPr>
          <w:rFonts w:ascii="Century Gothic" w:eastAsia="Times New Roman" w:hAnsi="Century Gothic"/>
          <w:sz w:val="16"/>
          <w:szCs w:val="16"/>
        </w:rPr>
        <w:t>16 (1</w:t>
      </w:r>
      <w:r w:rsidR="00DC291D" w:rsidRPr="008D6A8C">
        <w:rPr>
          <w:rFonts w:ascii="Century Gothic" w:eastAsia="Times New Roman" w:hAnsi="Century Gothic"/>
          <w:sz w:val="16"/>
          <w:szCs w:val="16"/>
        </w:rPr>
        <w:t>): 1–11.</w:t>
      </w:r>
    </w:p>
    <w:p w14:paraId="6A890DBA" w14:textId="18618620" w:rsidR="008E623C" w:rsidRDefault="008E623C" w:rsidP="00DC291D">
      <w:pPr>
        <w:spacing w:after="80" w:line="160" w:lineRule="exact"/>
        <w:jc w:val="left"/>
        <w:rPr>
          <w:rFonts w:ascii="Century Gothic" w:hAnsi="Century Gothic" w:cs="EGHCG F+ Univers"/>
          <w:sz w:val="14"/>
          <w:szCs w:val="14"/>
        </w:rPr>
      </w:pPr>
    </w:p>
    <w:p w14:paraId="3E1EE4F0" w14:textId="0B9F77FA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6B5C2F9A" w14:textId="10854F2E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3942FC47" w14:textId="1811D0CF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5E6EEB8C" w14:textId="67D7C532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59D287F3" w14:textId="259AFFFF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84B2BF9" w14:textId="0254A41E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AE8B9F3" w14:textId="4813548C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283FD8E6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65EDD93B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374362C7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0DBBB64A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2332DAD2" w14:textId="05C0DA3B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5D23721D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5AE9BC56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A44023F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97567C1" w14:textId="6D739CF3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15CB2DCB" w14:textId="709B8AB0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11E1FFD2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2CC4ECF4" w14:textId="5FED01C8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6EDEABE5" w14:textId="04BD1204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071807DC" w14:textId="1BB11FD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497CBFF8" w14:textId="6ABDCEC1" w:rsidR="008E623C" w:rsidRPr="008E623C" w:rsidRDefault="00BC7E61" w:rsidP="008E623C">
      <w:pPr>
        <w:rPr>
          <w:rFonts w:ascii="Century Gothic" w:hAnsi="Century Gothic" w:cs="EGHCG F+ Univers"/>
          <w:sz w:val="14"/>
          <w:szCs w:val="14"/>
        </w:rPr>
      </w:pPr>
      <w:r>
        <w:rPr>
          <w:rFonts w:ascii="Century Gothic" w:hAnsi="Century Gothic" w:cs="EGHCG F+ Univers"/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5D65B394" wp14:editId="00553EFB">
            <wp:simplePos x="0" y="0"/>
            <wp:positionH relativeFrom="column">
              <wp:posOffset>-176530</wp:posOffset>
            </wp:positionH>
            <wp:positionV relativeFrom="paragraph">
              <wp:posOffset>71755</wp:posOffset>
            </wp:positionV>
            <wp:extent cx="5910580" cy="173840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580" cy="1738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8703D" w14:textId="4475800A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98096AC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52A4A27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26C323C0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4137CF91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70F9B3E2" w14:textId="77777777" w:rsidR="008E623C" w:rsidRPr="008E623C" w:rsidRDefault="008E623C" w:rsidP="008E623C">
      <w:pPr>
        <w:rPr>
          <w:rFonts w:ascii="Century Gothic" w:hAnsi="Century Gothic" w:cs="EGHCG F+ Univers"/>
          <w:sz w:val="14"/>
          <w:szCs w:val="14"/>
        </w:rPr>
      </w:pPr>
    </w:p>
    <w:p w14:paraId="3143D78F" w14:textId="02168386" w:rsidR="003728D2" w:rsidRPr="008E623C" w:rsidRDefault="008E623C" w:rsidP="008E623C">
      <w:pPr>
        <w:tabs>
          <w:tab w:val="left" w:pos="1600"/>
          <w:tab w:val="center" w:pos="4513"/>
        </w:tabs>
        <w:jc w:val="left"/>
        <w:rPr>
          <w:rFonts w:ascii="Century Gothic" w:hAnsi="Century Gothic" w:cs="EGHCG F+ Univers"/>
          <w:sz w:val="14"/>
          <w:szCs w:val="14"/>
        </w:rPr>
      </w:pPr>
      <w:r>
        <w:rPr>
          <w:rFonts w:ascii="Century Gothic" w:hAnsi="Century Gothic" w:cs="EGHCG F+ Univers"/>
          <w:sz w:val="14"/>
          <w:szCs w:val="14"/>
        </w:rPr>
        <w:tab/>
      </w:r>
      <w:r>
        <w:rPr>
          <w:rFonts w:ascii="Century Gothic" w:hAnsi="Century Gothic" w:cs="EGHCG F+ Univers"/>
          <w:sz w:val="14"/>
          <w:szCs w:val="14"/>
        </w:rPr>
        <w:tab/>
      </w:r>
      <w:r>
        <w:rPr>
          <w:rFonts w:ascii="Century Gothic" w:hAnsi="Century Gothic" w:cs="EGHCG F+ Univers"/>
          <w:sz w:val="14"/>
          <w:szCs w:val="14"/>
        </w:rPr>
        <w:tab/>
      </w:r>
    </w:p>
    <w:sectPr w:rsidR="003728D2" w:rsidRPr="008E623C" w:rsidSect="008E623C">
      <w:pgSz w:w="11907" w:h="16839" w:code="9"/>
      <w:pgMar w:top="1126" w:right="1440" w:bottom="12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5148" w14:textId="77777777" w:rsidR="00A60FD1" w:rsidRDefault="00A60FD1" w:rsidP="00791350">
      <w:r>
        <w:separator/>
      </w:r>
    </w:p>
  </w:endnote>
  <w:endnote w:type="continuationSeparator" w:id="0">
    <w:p w14:paraId="641E6002" w14:textId="77777777" w:rsidR="00A60FD1" w:rsidRDefault="00A60FD1" w:rsidP="0079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GHCG F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FD92D" w14:textId="77777777" w:rsidR="00A60FD1" w:rsidRDefault="00A60FD1" w:rsidP="00791350">
      <w:r>
        <w:separator/>
      </w:r>
    </w:p>
  </w:footnote>
  <w:footnote w:type="continuationSeparator" w:id="0">
    <w:p w14:paraId="216CB6F4" w14:textId="77777777" w:rsidR="00A60FD1" w:rsidRDefault="00A60FD1" w:rsidP="0079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A7"/>
    <w:rsid w:val="000638AC"/>
    <w:rsid w:val="000F0A7E"/>
    <w:rsid w:val="00101897"/>
    <w:rsid w:val="00120D4A"/>
    <w:rsid w:val="00154E77"/>
    <w:rsid w:val="001B0666"/>
    <w:rsid w:val="00301FBE"/>
    <w:rsid w:val="00306710"/>
    <w:rsid w:val="00332E58"/>
    <w:rsid w:val="003728D2"/>
    <w:rsid w:val="00384A17"/>
    <w:rsid w:val="003B3459"/>
    <w:rsid w:val="003D22EB"/>
    <w:rsid w:val="003F6C6C"/>
    <w:rsid w:val="00400A89"/>
    <w:rsid w:val="00401C36"/>
    <w:rsid w:val="0043437B"/>
    <w:rsid w:val="00434753"/>
    <w:rsid w:val="004824EC"/>
    <w:rsid w:val="004D03D8"/>
    <w:rsid w:val="004D6B11"/>
    <w:rsid w:val="004F1B83"/>
    <w:rsid w:val="005909CE"/>
    <w:rsid w:val="005F551C"/>
    <w:rsid w:val="006074F8"/>
    <w:rsid w:val="006D0E15"/>
    <w:rsid w:val="00791350"/>
    <w:rsid w:val="007B16BA"/>
    <w:rsid w:val="00856355"/>
    <w:rsid w:val="008D6A8C"/>
    <w:rsid w:val="008E623C"/>
    <w:rsid w:val="00906F46"/>
    <w:rsid w:val="00972CEC"/>
    <w:rsid w:val="009C252B"/>
    <w:rsid w:val="009C6482"/>
    <w:rsid w:val="00A43CEA"/>
    <w:rsid w:val="00A60FD1"/>
    <w:rsid w:val="00A83925"/>
    <w:rsid w:val="00AC1450"/>
    <w:rsid w:val="00B86D7B"/>
    <w:rsid w:val="00B903B1"/>
    <w:rsid w:val="00BC7E61"/>
    <w:rsid w:val="00C46AA7"/>
    <w:rsid w:val="00C94DC6"/>
    <w:rsid w:val="00CC14F0"/>
    <w:rsid w:val="00D0605B"/>
    <w:rsid w:val="00DA65F3"/>
    <w:rsid w:val="00DC291D"/>
    <w:rsid w:val="00E03567"/>
    <w:rsid w:val="00ED6134"/>
    <w:rsid w:val="00F77102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2532"/>
  <w15:docId w15:val="{A05D8BF6-F072-4DA7-97E3-F4C75F5A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A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350"/>
  </w:style>
  <w:style w:type="paragraph" w:styleId="Footer">
    <w:name w:val="footer"/>
    <w:basedOn w:val="Normal"/>
    <w:link w:val="FooterChar"/>
    <w:uiPriority w:val="99"/>
    <w:unhideWhenUsed/>
    <w:rsid w:val="00791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350"/>
  </w:style>
  <w:style w:type="paragraph" w:styleId="BalloonText">
    <w:name w:val="Balloon Text"/>
    <w:basedOn w:val="Normal"/>
    <w:link w:val="BalloonTextChar"/>
    <w:uiPriority w:val="99"/>
    <w:semiHidden/>
    <w:unhideWhenUsed/>
    <w:rsid w:val="00791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0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4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4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4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asureevaluation.org/our-work/routine-health-information-systems/rhis-curricul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50D79-19F8-42B4-824E-DC0EF17D4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3940E-55D8-4EBC-BF7F-8F7165519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F7EAA-C5DA-4A84-AA7B-38E3BC705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cp:lastPrinted>2015-11-17T19:33:00Z</cp:lastPrinted>
  <dcterms:created xsi:type="dcterms:W3CDTF">2017-02-08T13:28:00Z</dcterms:created>
  <dcterms:modified xsi:type="dcterms:W3CDTF">2017-02-08T13:28:00Z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