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8C6" w:rsidRDefault="00070042" w:rsidP="003E38C6">
      <w:pPr>
        <w:pBdr>
          <w:bottom w:val="single" w:sz="4" w:space="1" w:color="auto"/>
        </w:pBdr>
        <w:rPr>
          <w:b/>
        </w:rPr>
      </w:pPr>
      <w:bookmarkStart w:id="0" w:name="_GoBack"/>
      <w:bookmarkEnd w:id="0"/>
      <w:r>
        <w:rPr>
          <w:b/>
        </w:rPr>
        <w:t>Conducting</w:t>
      </w:r>
      <w:r w:rsidR="003E38C6">
        <w:rPr>
          <w:b/>
        </w:rPr>
        <w:t xml:space="preserve"> High Impact Research</w:t>
      </w:r>
    </w:p>
    <w:p w:rsidR="003E38C6" w:rsidRDefault="00A03BD9" w:rsidP="003E38C6">
      <w:pPr>
        <w:pBdr>
          <w:bottom w:val="single" w:sz="4" w:space="1" w:color="auto"/>
        </w:pBdr>
        <w:rPr>
          <w:b/>
        </w:rPr>
      </w:pPr>
      <w:r>
        <w:rPr>
          <w:b/>
        </w:rPr>
        <w:t>Small G</w:t>
      </w:r>
      <w:r w:rsidR="003E38C6">
        <w:rPr>
          <w:b/>
        </w:rPr>
        <w:t xml:space="preserve">roup </w:t>
      </w:r>
      <w:r>
        <w:rPr>
          <w:b/>
        </w:rPr>
        <w:t xml:space="preserve">Activity 3 </w:t>
      </w:r>
      <w:r w:rsidR="00303180">
        <w:rPr>
          <w:b/>
        </w:rPr>
        <w:t xml:space="preserve">– </w:t>
      </w:r>
      <w:r w:rsidR="003E38C6">
        <w:rPr>
          <w:b/>
        </w:rPr>
        <w:t>DIRECTIONS</w:t>
      </w:r>
    </w:p>
    <w:p w:rsidR="003E38C6" w:rsidRDefault="003E38C6" w:rsidP="003E38C6">
      <w:pPr>
        <w:pBdr>
          <w:bottom w:val="single" w:sz="4" w:space="1" w:color="auto"/>
        </w:pBdr>
      </w:pPr>
      <w:r w:rsidRPr="00E4684F">
        <w:rPr>
          <w:b/>
        </w:rPr>
        <w:t>Developing a Data Use Action Plan</w:t>
      </w:r>
    </w:p>
    <w:p w:rsidR="003E38C6" w:rsidRDefault="003E38C6" w:rsidP="003E38C6"/>
    <w:p w:rsidR="003E38C6" w:rsidRPr="00F76F08" w:rsidRDefault="003E38C6" w:rsidP="003E38C6">
      <w:pPr>
        <w:spacing w:after="200" w:line="276" w:lineRule="auto"/>
        <w:rPr>
          <w:u w:val="single"/>
        </w:rPr>
      </w:pPr>
      <w:r w:rsidRPr="00F76F08">
        <w:rPr>
          <w:u w:val="single"/>
        </w:rPr>
        <w:t>Directions</w:t>
      </w:r>
      <w:r w:rsidRPr="00005023">
        <w:t>:</w:t>
      </w:r>
    </w:p>
    <w:p w:rsidR="003E38C6" w:rsidRDefault="003E38C6" w:rsidP="003E38C6">
      <w:pPr>
        <w:pStyle w:val="ListParagraph"/>
        <w:numPr>
          <w:ilvl w:val="0"/>
          <w:numId w:val="22"/>
        </w:numPr>
        <w:spacing w:line="276" w:lineRule="auto"/>
      </w:pPr>
      <w:r>
        <w:t xml:space="preserve">Stay in the same small groups as </w:t>
      </w:r>
      <w:r w:rsidR="00547855">
        <w:t xml:space="preserve">in </w:t>
      </w:r>
      <w:r>
        <w:t>Exercise 2.  Locate the Exercise 3 Worksheet.</w:t>
      </w:r>
    </w:p>
    <w:p w:rsidR="003E38C6" w:rsidRDefault="003E38C6" w:rsidP="003E38C6">
      <w:pPr>
        <w:spacing w:line="276" w:lineRule="auto"/>
        <w:ind w:left="360"/>
      </w:pPr>
    </w:p>
    <w:p w:rsidR="003E38C6" w:rsidRDefault="003E38C6" w:rsidP="003E38C6">
      <w:pPr>
        <w:pStyle w:val="ListParagraph"/>
        <w:numPr>
          <w:ilvl w:val="0"/>
          <w:numId w:val="22"/>
        </w:numPr>
        <w:spacing w:line="276" w:lineRule="auto"/>
      </w:pPr>
      <w:r>
        <w:t>Refer to the Exercise 3 Worksheet and review the research questions listed in the “Question</w:t>
      </w:r>
      <w:r w:rsidR="003A54B7">
        <w:t>s</w:t>
      </w:r>
      <w:r>
        <w:t>” column. For the research questions assigned to your group, review the key findings listed in the column titled “</w:t>
      </w:r>
      <w:r w:rsidR="00F1343F">
        <w:t>Findings</w:t>
      </w:r>
      <w:r w:rsidR="00303180">
        <w:t>.</w:t>
      </w:r>
      <w:r>
        <w:t>” Based on these finding</w:t>
      </w:r>
      <w:r w:rsidR="00303180">
        <w:t>s</w:t>
      </w:r>
      <w:r>
        <w:t>, develop policy or programmatic recommendations. As you develop recommendations and prioritize them</w:t>
      </w:r>
      <w:r w:rsidR="00303180">
        <w:t>,</w:t>
      </w:r>
      <w:r>
        <w:t xml:space="preserve"> consider the questions below:</w:t>
      </w:r>
    </w:p>
    <w:p w:rsidR="003E38C6" w:rsidRDefault="003E38C6" w:rsidP="003E38C6">
      <w:pPr>
        <w:pStyle w:val="ListParagraph"/>
        <w:numPr>
          <w:ilvl w:val="1"/>
          <w:numId w:val="23"/>
        </w:numPr>
      </w:pPr>
      <w:r>
        <w:t xml:space="preserve">Impact </w:t>
      </w:r>
      <w:r w:rsidR="00303180">
        <w:t xml:space="preserve">– </w:t>
      </w:r>
      <w:r>
        <w:t xml:space="preserve">What will be </w:t>
      </w:r>
      <w:r w:rsidR="00F1343F">
        <w:t xml:space="preserve">the long- and short-term </w:t>
      </w:r>
      <w:r>
        <w:t>impact</w:t>
      </w:r>
      <w:r w:rsidR="00F1343F">
        <w:t>s</w:t>
      </w:r>
      <w:r>
        <w:t xml:space="preserve"> of this recommendation on health programs? </w:t>
      </w:r>
    </w:p>
    <w:p w:rsidR="003E38C6" w:rsidRDefault="003E38C6" w:rsidP="003E38C6">
      <w:pPr>
        <w:pStyle w:val="ListParagraph"/>
        <w:numPr>
          <w:ilvl w:val="1"/>
          <w:numId w:val="23"/>
        </w:numPr>
      </w:pPr>
      <w:r>
        <w:t xml:space="preserve">Resources </w:t>
      </w:r>
      <w:r w:rsidR="00303180">
        <w:t>–</w:t>
      </w:r>
      <w:r>
        <w:t xml:space="preserve"> Are additional resources needed to implement the recommendation (financial, human, material)?</w:t>
      </w:r>
    </w:p>
    <w:p w:rsidR="003E38C6" w:rsidRDefault="003E38C6" w:rsidP="003E38C6">
      <w:pPr>
        <w:pStyle w:val="ListParagraph"/>
        <w:numPr>
          <w:ilvl w:val="1"/>
          <w:numId w:val="23"/>
        </w:numPr>
      </w:pPr>
      <w:r>
        <w:t xml:space="preserve">Supporting factors </w:t>
      </w:r>
      <w:r w:rsidR="00303180">
        <w:t>–</w:t>
      </w:r>
      <w:r>
        <w:t xml:space="preserve"> Are policy, operational</w:t>
      </w:r>
      <w:r w:rsidR="00F1343F">
        <w:t>,</w:t>
      </w:r>
      <w:r>
        <w:t xml:space="preserve"> or management changes needed to implement this recommendation?</w:t>
      </w:r>
    </w:p>
    <w:p w:rsidR="003E38C6" w:rsidRDefault="003E38C6" w:rsidP="003E38C6">
      <w:pPr>
        <w:pStyle w:val="ListParagraph"/>
        <w:numPr>
          <w:ilvl w:val="1"/>
          <w:numId w:val="23"/>
        </w:numPr>
      </w:pPr>
      <w:r>
        <w:t xml:space="preserve">Acceptability </w:t>
      </w:r>
      <w:r w:rsidR="00303180">
        <w:t>–</w:t>
      </w:r>
      <w:r>
        <w:t xml:space="preserve"> Is the proposed recommendation politically and culturally acceptable?</w:t>
      </w:r>
    </w:p>
    <w:p w:rsidR="003E38C6" w:rsidRDefault="003E38C6" w:rsidP="003E38C6">
      <w:pPr>
        <w:pStyle w:val="ListParagraph"/>
        <w:numPr>
          <w:ilvl w:val="1"/>
          <w:numId w:val="23"/>
        </w:numPr>
      </w:pPr>
      <w:r>
        <w:t xml:space="preserve">Timeliness </w:t>
      </w:r>
      <w:r w:rsidR="00303180">
        <w:t>–</w:t>
      </w:r>
      <w:r>
        <w:t xml:space="preserve"> Can the recommendation be implemented in a timely manner?</w:t>
      </w:r>
    </w:p>
    <w:p w:rsidR="003E38C6" w:rsidRDefault="003E38C6" w:rsidP="003E38C6">
      <w:pPr>
        <w:spacing w:line="276" w:lineRule="auto"/>
      </w:pPr>
    </w:p>
    <w:p w:rsidR="003E38C6" w:rsidRDefault="003E38C6" w:rsidP="003E38C6">
      <w:pPr>
        <w:pStyle w:val="ListParagraph"/>
        <w:numPr>
          <w:ilvl w:val="0"/>
          <w:numId w:val="22"/>
        </w:numPr>
      </w:pPr>
      <w:r>
        <w:t>Refer to the column titled “Lead Decision Maker</w:t>
      </w:r>
      <w:r w:rsidR="00547855">
        <w:t xml:space="preserve"> (LDM)</w:t>
      </w:r>
      <w:r w:rsidR="00303180">
        <w:t>.</w:t>
      </w:r>
      <w:r>
        <w:t xml:space="preserve">” Identify the primary decision maker needed to implement each recommendation developed in step 3. Refer to the stakeholder analysis that your group completed in Exercise 2.  </w:t>
      </w:r>
      <w:r>
        <w:br/>
      </w:r>
    </w:p>
    <w:p w:rsidR="003E38C6" w:rsidRDefault="003E38C6" w:rsidP="003E38C6">
      <w:pPr>
        <w:pStyle w:val="ListParagraph"/>
        <w:numPr>
          <w:ilvl w:val="0"/>
          <w:numId w:val="22"/>
        </w:numPr>
      </w:pPr>
      <w:r>
        <w:t xml:space="preserve">Refer to the </w:t>
      </w:r>
      <w:r w:rsidR="00F1343F">
        <w:t xml:space="preserve">“Stakeholders Impacted” </w:t>
      </w:r>
      <w:r>
        <w:t xml:space="preserve">column. Identify the additional stakeholders </w:t>
      </w:r>
      <w:r w:rsidR="00F1343F">
        <w:t xml:space="preserve">who </w:t>
      </w:r>
      <w:r>
        <w:t>will be affected by the implementation of each recommendation and/or the stakeholders who can assist the lead decision maker in the decision</w:t>
      </w:r>
      <w:r w:rsidR="00F1343F">
        <w:t>-</w:t>
      </w:r>
      <w:r>
        <w:t>making process.</w:t>
      </w:r>
    </w:p>
    <w:p w:rsidR="003E38C6" w:rsidRDefault="003E38C6" w:rsidP="003E38C6">
      <w:pPr>
        <w:ind w:left="360"/>
      </w:pPr>
    </w:p>
    <w:p w:rsidR="003E38C6" w:rsidRPr="00012A7C" w:rsidRDefault="003E38C6" w:rsidP="003E38C6">
      <w:pPr>
        <w:pStyle w:val="ListParagraph"/>
        <w:numPr>
          <w:ilvl w:val="0"/>
          <w:numId w:val="22"/>
        </w:numPr>
      </w:pPr>
      <w:r>
        <w:t xml:space="preserve">Refer to the column </w:t>
      </w:r>
      <w:r w:rsidR="00F1343F">
        <w:t xml:space="preserve">labeled </w:t>
      </w:r>
      <w:r>
        <w:t>“Communication Channel</w:t>
      </w:r>
      <w:r w:rsidR="00303180">
        <w:t>.</w:t>
      </w:r>
      <w:r>
        <w:t xml:space="preserve">” List the ideal communication channel for reaching stakeholders with key findings and recommendations. Select a communication channel for each group of stakeholders. Refer to the chart below for selecting appropriate communication channels based on the type of stakeholder. </w:t>
      </w:r>
    </w:p>
    <w:p w:rsidR="003E38C6" w:rsidRDefault="003E38C6" w:rsidP="003E38C6">
      <w:pPr>
        <w:jc w:val="center"/>
        <w:rPr>
          <w:b/>
          <w:highlight w:val="yellow"/>
        </w:rPr>
      </w:pPr>
    </w:p>
    <w:p w:rsidR="003E38C6" w:rsidRDefault="003E38C6" w:rsidP="003E38C6">
      <w:pPr>
        <w:jc w:val="center"/>
        <w:rPr>
          <w:b/>
          <w:highlight w:val="yellow"/>
        </w:rPr>
      </w:pPr>
    </w:p>
    <w:p w:rsidR="003E38C6" w:rsidRDefault="003E38C6" w:rsidP="003E38C6">
      <w:pPr>
        <w:jc w:val="center"/>
        <w:rPr>
          <w:b/>
          <w:highlight w:val="yellow"/>
        </w:rPr>
      </w:pPr>
    </w:p>
    <w:p w:rsidR="003E38C6" w:rsidRDefault="003E38C6" w:rsidP="003E38C6">
      <w:pPr>
        <w:jc w:val="center"/>
        <w:rPr>
          <w:b/>
          <w:highlight w:val="yellow"/>
        </w:rPr>
      </w:pPr>
    </w:p>
    <w:p w:rsidR="00A03BD9" w:rsidRDefault="00A03BD9" w:rsidP="003E38C6">
      <w:pPr>
        <w:jc w:val="center"/>
        <w:rPr>
          <w:b/>
          <w:highlight w:val="yellow"/>
        </w:rPr>
      </w:pPr>
    </w:p>
    <w:p w:rsidR="00A03BD9" w:rsidRDefault="00A03BD9" w:rsidP="003E38C6">
      <w:pPr>
        <w:jc w:val="center"/>
        <w:rPr>
          <w:b/>
          <w:highlight w:val="yellow"/>
        </w:rPr>
      </w:pPr>
    </w:p>
    <w:p w:rsidR="00A03BD9" w:rsidRDefault="00A03BD9" w:rsidP="003E38C6">
      <w:pPr>
        <w:jc w:val="center"/>
        <w:rPr>
          <w:b/>
          <w:highlight w:val="yellow"/>
        </w:rPr>
      </w:pPr>
    </w:p>
    <w:p w:rsidR="003E38C6" w:rsidRDefault="003E38C6" w:rsidP="003E38C6">
      <w:pPr>
        <w:jc w:val="center"/>
        <w:rPr>
          <w:b/>
          <w:highlight w:val="yellow"/>
        </w:rPr>
      </w:pPr>
    </w:p>
    <w:p w:rsidR="003E38C6" w:rsidRPr="00B5462F" w:rsidRDefault="003E38C6" w:rsidP="003E38C6">
      <w:pPr>
        <w:jc w:val="center"/>
        <w:rPr>
          <w:b/>
          <w:highlight w:val="yellow"/>
        </w:rPr>
      </w:pPr>
    </w:p>
    <w:p w:rsidR="003E38C6" w:rsidRPr="00B5462F" w:rsidRDefault="003E38C6" w:rsidP="003E38C6">
      <w:pPr>
        <w:pStyle w:val="ListParagraph"/>
        <w:jc w:val="center"/>
        <w:rPr>
          <w:b/>
        </w:rPr>
      </w:pPr>
      <w:r w:rsidRPr="00B5462F">
        <w:rPr>
          <w:b/>
        </w:rPr>
        <w:lastRenderedPageBreak/>
        <w:t xml:space="preserve">Making research findings actionable: </w:t>
      </w:r>
      <w:r w:rsidR="00282806">
        <w:rPr>
          <w:b/>
        </w:rPr>
        <w:t>A</w:t>
      </w:r>
      <w:r w:rsidR="00282806" w:rsidRPr="00B5462F">
        <w:rPr>
          <w:b/>
        </w:rPr>
        <w:t xml:space="preserve"> </w:t>
      </w:r>
      <w:r w:rsidRPr="00B5462F">
        <w:rPr>
          <w:b/>
        </w:rPr>
        <w:t>quick reference to communicating health information for decision making</w:t>
      </w:r>
    </w:p>
    <w:p w:rsidR="003E38C6" w:rsidRDefault="003E38C6" w:rsidP="003E38C6">
      <w:pPr>
        <w:ind w:left="360"/>
      </w:pPr>
    </w:p>
    <w:tbl>
      <w:tblPr>
        <w:tblStyle w:val="TableGrid"/>
        <w:tblpPr w:leftFromText="180" w:rightFromText="180" w:vertAnchor="page" w:horzAnchor="margin" w:tblpXSpec="center" w:tblpY="1966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5790A" w:rsidTr="00F5790A">
        <w:tc>
          <w:tcPr>
            <w:tcW w:w="4788" w:type="dxa"/>
          </w:tcPr>
          <w:p w:rsidR="00F5790A" w:rsidRPr="00B5462F" w:rsidRDefault="00F5790A" w:rsidP="00F5790A">
            <w:pPr>
              <w:rPr>
                <w:b/>
              </w:rPr>
            </w:pPr>
            <w:r w:rsidRPr="00B5462F">
              <w:rPr>
                <w:b/>
              </w:rPr>
              <w:t>Stakeholder Group</w:t>
            </w:r>
          </w:p>
        </w:tc>
        <w:tc>
          <w:tcPr>
            <w:tcW w:w="4788" w:type="dxa"/>
          </w:tcPr>
          <w:p w:rsidR="00F5790A" w:rsidRPr="00B5462F" w:rsidRDefault="00F5790A" w:rsidP="00F5790A">
            <w:pPr>
              <w:rPr>
                <w:b/>
              </w:rPr>
            </w:pPr>
            <w:r w:rsidRPr="00B5462F">
              <w:rPr>
                <w:b/>
              </w:rPr>
              <w:t>Communication Methods</w:t>
            </w:r>
          </w:p>
        </w:tc>
      </w:tr>
      <w:tr w:rsidR="00F5790A" w:rsidRPr="00772B3A" w:rsidTr="00F5790A">
        <w:tc>
          <w:tcPr>
            <w:tcW w:w="4788" w:type="dxa"/>
          </w:tcPr>
          <w:p w:rsidR="00F5790A" w:rsidRPr="0054296C" w:rsidRDefault="00F5790A" w:rsidP="00F5790A">
            <w:r w:rsidRPr="0054296C">
              <w:rPr>
                <w:sz w:val="20"/>
                <w:szCs w:val="20"/>
              </w:rPr>
              <w:t>Politicians and government officials</w:t>
            </w:r>
          </w:p>
        </w:tc>
        <w:tc>
          <w:tcPr>
            <w:tcW w:w="4788" w:type="dxa"/>
          </w:tcPr>
          <w:p w:rsidR="00F5790A" w:rsidRPr="0038694A" w:rsidRDefault="00F5790A" w:rsidP="00F5790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dissemination workshops, other </w:t>
            </w:r>
            <w:r w:rsidRPr="0038694A">
              <w:rPr>
                <w:i/>
                <w:sz w:val="20"/>
                <w:szCs w:val="20"/>
              </w:rPr>
              <w:t>face-to-face meetings</w:t>
            </w:r>
            <w:r w:rsidR="00635D55">
              <w:rPr>
                <w:i/>
                <w:sz w:val="20"/>
                <w:szCs w:val="20"/>
              </w:rPr>
              <w:t>,</w:t>
            </w:r>
          </w:p>
          <w:p w:rsidR="00F5790A" w:rsidRPr="00772B3A" w:rsidRDefault="00F5790A" w:rsidP="00F5790A">
            <w:pPr>
              <w:rPr>
                <w:i/>
              </w:rPr>
            </w:pPr>
            <w:r w:rsidRPr="0038694A">
              <w:rPr>
                <w:i/>
                <w:sz w:val="20"/>
                <w:szCs w:val="20"/>
              </w:rPr>
              <w:t xml:space="preserve">policy briefs, brochures, and executive summaries </w:t>
            </w:r>
          </w:p>
        </w:tc>
      </w:tr>
      <w:tr w:rsidR="00F5790A" w:rsidTr="00F5790A">
        <w:tc>
          <w:tcPr>
            <w:tcW w:w="4788" w:type="dxa"/>
          </w:tcPr>
          <w:p w:rsidR="00F5790A" w:rsidRPr="0054296C" w:rsidRDefault="00F5790A" w:rsidP="00F5790A">
            <w:r w:rsidRPr="0054296C">
              <w:rPr>
                <w:sz w:val="20"/>
                <w:szCs w:val="20"/>
              </w:rPr>
              <w:t>Program managers</w:t>
            </w:r>
          </w:p>
        </w:tc>
        <w:tc>
          <w:tcPr>
            <w:tcW w:w="4788" w:type="dxa"/>
          </w:tcPr>
          <w:p w:rsidR="00F5790A" w:rsidRDefault="00F5790A" w:rsidP="00F5790A">
            <w:pPr>
              <w:rPr>
                <w:bCs/>
                <w:sz w:val="20"/>
                <w:szCs w:val="20"/>
                <w:lang w:val="en-GB"/>
              </w:rPr>
            </w:pPr>
            <w:r w:rsidRPr="003562AE">
              <w:rPr>
                <w:bCs/>
                <w:i/>
                <w:sz w:val="20"/>
                <w:szCs w:val="20"/>
                <w:lang w:val="en-GB"/>
              </w:rPr>
              <w:t>summary reports</w:t>
            </w:r>
            <w:r>
              <w:rPr>
                <w:sz w:val="20"/>
                <w:szCs w:val="20"/>
              </w:rPr>
              <w:t xml:space="preserve">, </w:t>
            </w:r>
            <w:r w:rsidRPr="003562AE">
              <w:rPr>
                <w:bCs/>
                <w:i/>
                <w:sz w:val="20"/>
                <w:szCs w:val="20"/>
                <w:lang w:val="en-GB"/>
              </w:rPr>
              <w:t>executive summar</w:t>
            </w:r>
            <w:r>
              <w:rPr>
                <w:bCs/>
                <w:i/>
                <w:sz w:val="20"/>
                <w:szCs w:val="20"/>
                <w:lang w:val="en-GB"/>
              </w:rPr>
              <w:t>ies</w:t>
            </w:r>
            <w:r w:rsidR="00635D55">
              <w:rPr>
                <w:bCs/>
                <w:i/>
                <w:sz w:val="20"/>
                <w:szCs w:val="20"/>
                <w:lang w:val="en-GB"/>
              </w:rPr>
              <w:t>,</w:t>
            </w:r>
            <w:r w:rsidRPr="002162A5">
              <w:rPr>
                <w:bCs/>
                <w:sz w:val="20"/>
                <w:szCs w:val="20"/>
                <w:lang w:val="en-GB"/>
              </w:rPr>
              <w:t xml:space="preserve"> </w:t>
            </w:r>
          </w:p>
          <w:p w:rsidR="00F5790A" w:rsidRDefault="00F5790A" w:rsidP="00F5790A">
            <w:r>
              <w:rPr>
                <w:i/>
                <w:sz w:val="20"/>
                <w:szCs w:val="20"/>
              </w:rPr>
              <w:t>a</w:t>
            </w:r>
            <w:r w:rsidRPr="003562AE">
              <w:rPr>
                <w:i/>
                <w:sz w:val="20"/>
                <w:szCs w:val="20"/>
              </w:rPr>
              <w:t>udiovisual presentations</w:t>
            </w:r>
          </w:p>
        </w:tc>
      </w:tr>
      <w:tr w:rsidR="00F5790A" w:rsidTr="00F5790A">
        <w:tc>
          <w:tcPr>
            <w:tcW w:w="4788" w:type="dxa"/>
          </w:tcPr>
          <w:p w:rsidR="00F5790A" w:rsidRPr="0054296C" w:rsidRDefault="00F5790A" w:rsidP="00F1343F">
            <w:r w:rsidRPr="0054296C">
              <w:rPr>
                <w:sz w:val="20"/>
                <w:szCs w:val="20"/>
              </w:rPr>
              <w:t>Civil society, nongovernmental organizations</w:t>
            </w:r>
            <w:r w:rsidR="00F1343F">
              <w:rPr>
                <w:sz w:val="20"/>
                <w:szCs w:val="20"/>
              </w:rPr>
              <w:t>,</w:t>
            </w:r>
            <w:r w:rsidRPr="0054296C">
              <w:rPr>
                <w:sz w:val="20"/>
                <w:szCs w:val="20"/>
              </w:rPr>
              <w:t xml:space="preserve"> and professional associations</w:t>
            </w:r>
          </w:p>
        </w:tc>
        <w:tc>
          <w:tcPr>
            <w:tcW w:w="4788" w:type="dxa"/>
          </w:tcPr>
          <w:p w:rsidR="00F5790A" w:rsidRDefault="00F5790A" w:rsidP="00F5790A">
            <w:pPr>
              <w:rPr>
                <w:i/>
                <w:sz w:val="20"/>
                <w:szCs w:val="20"/>
              </w:rPr>
            </w:pPr>
            <w:r w:rsidRPr="003562AE">
              <w:rPr>
                <w:i/>
                <w:sz w:val="20"/>
                <w:szCs w:val="20"/>
              </w:rPr>
              <w:t>fact sheet</w:t>
            </w:r>
            <w:r>
              <w:rPr>
                <w:i/>
                <w:sz w:val="20"/>
                <w:szCs w:val="20"/>
              </w:rPr>
              <w:t>s, b</w:t>
            </w:r>
            <w:r w:rsidRPr="003562AE">
              <w:rPr>
                <w:i/>
                <w:sz w:val="20"/>
                <w:szCs w:val="20"/>
              </w:rPr>
              <w:t>rochures</w:t>
            </w:r>
            <w:r w:rsidR="007F316D">
              <w:rPr>
                <w:i/>
                <w:sz w:val="20"/>
                <w:szCs w:val="20"/>
              </w:rPr>
              <w:t>,</w:t>
            </w:r>
            <w:r w:rsidRPr="003562AE">
              <w:rPr>
                <w:i/>
                <w:sz w:val="20"/>
                <w:szCs w:val="20"/>
              </w:rPr>
              <w:t xml:space="preserve"> and other handouts</w:t>
            </w:r>
            <w:r w:rsidR="00635D55">
              <w:rPr>
                <w:i/>
                <w:sz w:val="20"/>
                <w:szCs w:val="20"/>
              </w:rPr>
              <w:t>,</w:t>
            </w:r>
          </w:p>
          <w:p w:rsidR="00F5790A" w:rsidRDefault="00F5790A" w:rsidP="00F5790A">
            <w:r>
              <w:rPr>
                <w:i/>
                <w:sz w:val="20"/>
                <w:szCs w:val="20"/>
              </w:rPr>
              <w:t>a</w:t>
            </w:r>
            <w:r w:rsidRPr="003562AE">
              <w:rPr>
                <w:i/>
                <w:sz w:val="20"/>
                <w:szCs w:val="20"/>
              </w:rPr>
              <w:t>udiovisual presentations</w:t>
            </w:r>
          </w:p>
        </w:tc>
      </w:tr>
      <w:tr w:rsidR="00F5790A" w:rsidTr="00F5790A">
        <w:tc>
          <w:tcPr>
            <w:tcW w:w="4788" w:type="dxa"/>
          </w:tcPr>
          <w:p w:rsidR="00F5790A" w:rsidRPr="0054296C" w:rsidRDefault="00F5790A" w:rsidP="00F5790A">
            <w:r w:rsidRPr="0054296C">
              <w:rPr>
                <w:sz w:val="20"/>
                <w:szCs w:val="20"/>
              </w:rPr>
              <w:t>Private sector</w:t>
            </w:r>
          </w:p>
        </w:tc>
        <w:tc>
          <w:tcPr>
            <w:tcW w:w="4788" w:type="dxa"/>
          </w:tcPr>
          <w:p w:rsidR="00F5790A" w:rsidRDefault="00F5790A" w:rsidP="00F5790A">
            <w:pPr>
              <w:rPr>
                <w:i/>
                <w:sz w:val="20"/>
                <w:szCs w:val="20"/>
              </w:rPr>
            </w:pPr>
            <w:r w:rsidRPr="003562AE">
              <w:rPr>
                <w:i/>
                <w:sz w:val="20"/>
                <w:szCs w:val="20"/>
              </w:rPr>
              <w:t>fact sheet</w:t>
            </w:r>
            <w:r>
              <w:rPr>
                <w:i/>
                <w:sz w:val="20"/>
                <w:szCs w:val="20"/>
              </w:rPr>
              <w:t>s</w:t>
            </w:r>
            <w:r w:rsidR="00635D55">
              <w:rPr>
                <w:i/>
                <w:sz w:val="20"/>
                <w:szCs w:val="20"/>
              </w:rPr>
              <w:t>,</w:t>
            </w:r>
          </w:p>
          <w:p w:rsidR="00F5790A" w:rsidRDefault="00F5790A" w:rsidP="00F5790A">
            <w:r>
              <w:rPr>
                <w:i/>
                <w:sz w:val="20"/>
                <w:szCs w:val="20"/>
              </w:rPr>
              <w:t>a</w:t>
            </w:r>
            <w:r w:rsidRPr="003562AE">
              <w:rPr>
                <w:i/>
                <w:sz w:val="20"/>
                <w:szCs w:val="20"/>
              </w:rPr>
              <w:t>udiovisual presentations</w:t>
            </w:r>
          </w:p>
        </w:tc>
      </w:tr>
      <w:tr w:rsidR="00F5790A" w:rsidRPr="001140D3" w:rsidTr="00F5790A">
        <w:tc>
          <w:tcPr>
            <w:tcW w:w="4788" w:type="dxa"/>
          </w:tcPr>
          <w:p w:rsidR="00F5790A" w:rsidRPr="0054296C" w:rsidRDefault="00F5790A" w:rsidP="00F5790A">
            <w:r w:rsidRPr="0054296C">
              <w:rPr>
                <w:sz w:val="20"/>
                <w:szCs w:val="20"/>
                <w:lang w:val="es-ES"/>
              </w:rPr>
              <w:t>Mass media</w:t>
            </w:r>
          </w:p>
        </w:tc>
        <w:tc>
          <w:tcPr>
            <w:tcW w:w="4788" w:type="dxa"/>
          </w:tcPr>
          <w:p w:rsidR="00F5790A" w:rsidRDefault="007F316D" w:rsidP="00F5790A">
            <w:pPr>
              <w:rPr>
                <w:i/>
                <w:sz w:val="20"/>
                <w:szCs w:val="20"/>
                <w:lang w:val="es-ES"/>
              </w:rPr>
            </w:pPr>
            <w:r>
              <w:rPr>
                <w:i/>
                <w:sz w:val="20"/>
                <w:szCs w:val="20"/>
                <w:lang w:val="es-ES"/>
              </w:rPr>
              <w:t>magazines</w:t>
            </w:r>
            <w:r w:rsidR="00F5790A">
              <w:rPr>
                <w:i/>
                <w:sz w:val="20"/>
                <w:szCs w:val="20"/>
                <w:lang w:val="es-ES"/>
              </w:rPr>
              <w:t>, n</w:t>
            </w:r>
            <w:r w:rsidR="00F5790A" w:rsidRPr="00D2561F">
              <w:rPr>
                <w:i/>
                <w:sz w:val="20"/>
                <w:szCs w:val="20"/>
                <w:lang w:val="es-ES"/>
              </w:rPr>
              <w:t>ews</w:t>
            </w:r>
            <w:r w:rsidR="00AE1DFC">
              <w:rPr>
                <w:i/>
                <w:sz w:val="20"/>
                <w:szCs w:val="20"/>
                <w:lang w:val="es-ES"/>
              </w:rPr>
              <w:t>p</w:t>
            </w:r>
            <w:r w:rsidR="00F5790A" w:rsidRPr="00D2561F">
              <w:rPr>
                <w:i/>
                <w:sz w:val="20"/>
                <w:szCs w:val="20"/>
                <w:lang w:val="es-ES"/>
              </w:rPr>
              <w:t>apers</w:t>
            </w:r>
            <w:r w:rsidR="00635D55">
              <w:rPr>
                <w:i/>
                <w:sz w:val="20"/>
                <w:szCs w:val="20"/>
                <w:lang w:val="es-ES"/>
              </w:rPr>
              <w:t>,</w:t>
            </w:r>
          </w:p>
          <w:p w:rsidR="00F5790A" w:rsidRPr="001140D3" w:rsidRDefault="00F5790A" w:rsidP="00F5790A">
            <w:pPr>
              <w:rPr>
                <w:i/>
                <w:sz w:val="20"/>
                <w:szCs w:val="20"/>
                <w:lang w:val="es-ES"/>
              </w:rPr>
            </w:pPr>
            <w:r w:rsidRPr="001140D3">
              <w:rPr>
                <w:i/>
                <w:sz w:val="20"/>
                <w:szCs w:val="20"/>
              </w:rPr>
              <w:t>press releases</w:t>
            </w:r>
            <w:r>
              <w:rPr>
                <w:i/>
                <w:sz w:val="20"/>
                <w:szCs w:val="20"/>
                <w:lang w:val="es-ES"/>
              </w:rPr>
              <w:t>, fact sheets</w:t>
            </w:r>
          </w:p>
        </w:tc>
      </w:tr>
      <w:tr w:rsidR="00F5790A" w:rsidTr="00F5790A">
        <w:tc>
          <w:tcPr>
            <w:tcW w:w="4788" w:type="dxa"/>
          </w:tcPr>
          <w:p w:rsidR="00F5790A" w:rsidRPr="0054296C" w:rsidRDefault="00F5790A" w:rsidP="00F5790A">
            <w:r w:rsidRPr="0054296C">
              <w:rPr>
                <w:sz w:val="20"/>
                <w:szCs w:val="20"/>
              </w:rPr>
              <w:t>Donors/funders</w:t>
            </w:r>
          </w:p>
        </w:tc>
        <w:tc>
          <w:tcPr>
            <w:tcW w:w="4788" w:type="dxa"/>
          </w:tcPr>
          <w:p w:rsidR="00F5790A" w:rsidRDefault="00F5790A" w:rsidP="00F5790A">
            <w:pPr>
              <w:rPr>
                <w:i/>
                <w:sz w:val="20"/>
                <w:szCs w:val="20"/>
              </w:rPr>
            </w:pPr>
            <w:r w:rsidRPr="00277D4C">
              <w:rPr>
                <w:i/>
                <w:sz w:val="20"/>
                <w:szCs w:val="20"/>
              </w:rPr>
              <w:t>full research report</w:t>
            </w:r>
            <w:r w:rsidR="007F316D">
              <w:rPr>
                <w:i/>
                <w:sz w:val="20"/>
                <w:szCs w:val="20"/>
              </w:rPr>
              <w:t>s</w:t>
            </w:r>
            <w:r w:rsidR="00635D55">
              <w:rPr>
                <w:i/>
                <w:sz w:val="20"/>
                <w:szCs w:val="20"/>
              </w:rPr>
              <w:t>,</w:t>
            </w:r>
          </w:p>
          <w:p w:rsidR="00F5790A" w:rsidRDefault="00F5790A" w:rsidP="00F5790A">
            <w:r w:rsidRPr="00277D4C">
              <w:rPr>
                <w:i/>
                <w:sz w:val="20"/>
                <w:szCs w:val="20"/>
              </w:rPr>
              <w:t>audiovisual presentation</w:t>
            </w:r>
            <w:r w:rsidR="007F316D">
              <w:rPr>
                <w:i/>
                <w:sz w:val="20"/>
                <w:szCs w:val="20"/>
              </w:rPr>
              <w:t>s</w:t>
            </w:r>
          </w:p>
        </w:tc>
      </w:tr>
      <w:tr w:rsidR="00F5790A" w:rsidTr="00F5790A">
        <w:tc>
          <w:tcPr>
            <w:tcW w:w="4788" w:type="dxa"/>
          </w:tcPr>
          <w:p w:rsidR="00F5790A" w:rsidRPr="0054296C" w:rsidRDefault="00F5790A" w:rsidP="00F5790A">
            <w:r w:rsidRPr="0054296C">
              <w:rPr>
                <w:sz w:val="20"/>
                <w:szCs w:val="20"/>
              </w:rPr>
              <w:t>Academic researchers and international agencies/organizations</w:t>
            </w:r>
          </w:p>
        </w:tc>
        <w:tc>
          <w:tcPr>
            <w:tcW w:w="4788" w:type="dxa"/>
          </w:tcPr>
          <w:p w:rsidR="00F5790A" w:rsidRDefault="00F5790A" w:rsidP="00F5790A">
            <w:pPr>
              <w:rPr>
                <w:sz w:val="20"/>
                <w:szCs w:val="20"/>
              </w:rPr>
            </w:pPr>
            <w:r w:rsidRPr="00277D4C">
              <w:rPr>
                <w:i/>
                <w:sz w:val="20"/>
                <w:szCs w:val="20"/>
              </w:rPr>
              <w:t>peer-reviewed article</w:t>
            </w:r>
            <w:r w:rsidR="007F316D">
              <w:rPr>
                <w:i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, </w:t>
            </w:r>
            <w:r w:rsidRPr="00873FF9">
              <w:rPr>
                <w:i/>
                <w:sz w:val="20"/>
                <w:szCs w:val="20"/>
              </w:rPr>
              <w:t>oral/poster presentations</w:t>
            </w:r>
            <w:r w:rsidR="00635D55">
              <w:rPr>
                <w:sz w:val="20"/>
                <w:szCs w:val="20"/>
              </w:rPr>
              <w:t>,</w:t>
            </w:r>
          </w:p>
          <w:p w:rsidR="00F5790A" w:rsidRPr="00F706B6" w:rsidRDefault="00F5790A" w:rsidP="00F1343F">
            <w:pPr>
              <w:rPr>
                <w:sz w:val="20"/>
                <w:szCs w:val="20"/>
              </w:rPr>
            </w:pPr>
            <w:r w:rsidRPr="00277D4C">
              <w:rPr>
                <w:i/>
                <w:sz w:val="20"/>
                <w:szCs w:val="20"/>
              </w:rPr>
              <w:t>research database</w:t>
            </w:r>
            <w:r w:rsidR="007F316D">
              <w:rPr>
                <w:i/>
                <w:sz w:val="20"/>
                <w:szCs w:val="20"/>
              </w:rPr>
              <w:t>s</w:t>
            </w:r>
            <w:r>
              <w:rPr>
                <w:i/>
                <w:sz w:val="20"/>
                <w:szCs w:val="20"/>
              </w:rPr>
              <w:t>, CD-ROM</w:t>
            </w:r>
            <w:r w:rsidR="002F2BF0">
              <w:rPr>
                <w:i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, </w:t>
            </w:r>
            <w:r w:rsidRPr="00873FF9">
              <w:rPr>
                <w:i/>
                <w:sz w:val="20"/>
                <w:szCs w:val="20"/>
              </w:rPr>
              <w:t>websites</w:t>
            </w:r>
          </w:p>
        </w:tc>
      </w:tr>
    </w:tbl>
    <w:p w:rsidR="002305E5" w:rsidRDefault="002305E5" w:rsidP="00720918">
      <w:pPr>
        <w:pBdr>
          <w:bottom w:val="single" w:sz="4" w:space="1" w:color="auto"/>
        </w:pBdr>
        <w:rPr>
          <w:b/>
          <w:sz w:val="16"/>
          <w:szCs w:val="16"/>
        </w:rPr>
      </w:pPr>
    </w:p>
    <w:p w:rsidR="002305E5" w:rsidRDefault="002305E5" w:rsidP="00720918">
      <w:pPr>
        <w:pBdr>
          <w:bottom w:val="single" w:sz="4" w:space="1" w:color="auto"/>
        </w:pBdr>
        <w:rPr>
          <w:b/>
          <w:sz w:val="16"/>
          <w:szCs w:val="16"/>
        </w:rPr>
      </w:pPr>
    </w:p>
    <w:p w:rsidR="002305E5" w:rsidRDefault="002305E5" w:rsidP="00720918">
      <w:pPr>
        <w:pBdr>
          <w:bottom w:val="single" w:sz="4" w:space="1" w:color="auto"/>
        </w:pBdr>
        <w:rPr>
          <w:b/>
          <w:sz w:val="16"/>
          <w:szCs w:val="16"/>
        </w:rPr>
      </w:pPr>
    </w:p>
    <w:p w:rsidR="002305E5" w:rsidRDefault="002305E5" w:rsidP="00720918">
      <w:pPr>
        <w:pBdr>
          <w:bottom w:val="single" w:sz="4" w:space="1" w:color="auto"/>
        </w:pBdr>
        <w:rPr>
          <w:b/>
          <w:sz w:val="16"/>
          <w:szCs w:val="16"/>
        </w:rPr>
      </w:pPr>
    </w:p>
    <w:p w:rsidR="002305E5" w:rsidRDefault="002305E5" w:rsidP="00720918">
      <w:pPr>
        <w:pBdr>
          <w:bottom w:val="single" w:sz="4" w:space="1" w:color="auto"/>
        </w:pBdr>
        <w:rPr>
          <w:b/>
          <w:sz w:val="16"/>
          <w:szCs w:val="16"/>
        </w:rPr>
      </w:pPr>
    </w:p>
    <w:p w:rsidR="002305E5" w:rsidRDefault="002305E5" w:rsidP="00720918">
      <w:pPr>
        <w:pBdr>
          <w:bottom w:val="single" w:sz="4" w:space="1" w:color="auto"/>
        </w:pBdr>
        <w:rPr>
          <w:b/>
          <w:sz w:val="16"/>
          <w:szCs w:val="16"/>
        </w:rPr>
      </w:pPr>
    </w:p>
    <w:p w:rsidR="002305E5" w:rsidRDefault="002305E5" w:rsidP="00720918">
      <w:pPr>
        <w:pBdr>
          <w:bottom w:val="single" w:sz="4" w:space="1" w:color="auto"/>
        </w:pBdr>
        <w:rPr>
          <w:b/>
          <w:sz w:val="16"/>
          <w:szCs w:val="16"/>
        </w:rPr>
      </w:pPr>
    </w:p>
    <w:p w:rsidR="002305E5" w:rsidRDefault="002305E5" w:rsidP="00720918">
      <w:pPr>
        <w:pBdr>
          <w:bottom w:val="single" w:sz="4" w:space="1" w:color="auto"/>
        </w:pBdr>
        <w:rPr>
          <w:b/>
          <w:sz w:val="16"/>
          <w:szCs w:val="16"/>
        </w:rPr>
      </w:pPr>
    </w:p>
    <w:p w:rsidR="002305E5" w:rsidRDefault="002305E5" w:rsidP="00720918">
      <w:pPr>
        <w:pBdr>
          <w:bottom w:val="single" w:sz="4" w:space="1" w:color="auto"/>
        </w:pBdr>
        <w:rPr>
          <w:b/>
          <w:sz w:val="16"/>
          <w:szCs w:val="16"/>
        </w:rPr>
      </w:pPr>
    </w:p>
    <w:p w:rsidR="002305E5" w:rsidRDefault="002305E5" w:rsidP="00720918">
      <w:pPr>
        <w:pBdr>
          <w:bottom w:val="single" w:sz="4" w:space="1" w:color="auto"/>
        </w:pBdr>
        <w:rPr>
          <w:b/>
          <w:sz w:val="16"/>
          <w:szCs w:val="16"/>
        </w:rPr>
      </w:pPr>
    </w:p>
    <w:p w:rsidR="002305E5" w:rsidRDefault="002305E5" w:rsidP="00720918">
      <w:pPr>
        <w:pBdr>
          <w:bottom w:val="single" w:sz="4" w:space="1" w:color="auto"/>
        </w:pBdr>
        <w:rPr>
          <w:b/>
          <w:sz w:val="16"/>
          <w:szCs w:val="16"/>
        </w:rPr>
      </w:pPr>
    </w:p>
    <w:p w:rsidR="002305E5" w:rsidRDefault="002305E5" w:rsidP="00720918">
      <w:pPr>
        <w:pBdr>
          <w:bottom w:val="single" w:sz="4" w:space="1" w:color="auto"/>
        </w:pBdr>
        <w:rPr>
          <w:b/>
          <w:sz w:val="16"/>
          <w:szCs w:val="16"/>
        </w:rPr>
      </w:pPr>
    </w:p>
    <w:p w:rsidR="002305E5" w:rsidRDefault="002305E5" w:rsidP="00720918">
      <w:pPr>
        <w:pBdr>
          <w:bottom w:val="single" w:sz="4" w:space="1" w:color="auto"/>
        </w:pBdr>
        <w:rPr>
          <w:b/>
          <w:sz w:val="16"/>
          <w:szCs w:val="16"/>
        </w:rPr>
      </w:pPr>
    </w:p>
    <w:p w:rsidR="002305E5" w:rsidRDefault="002305E5" w:rsidP="00720918">
      <w:pPr>
        <w:pBdr>
          <w:bottom w:val="single" w:sz="4" w:space="1" w:color="auto"/>
        </w:pBdr>
        <w:rPr>
          <w:b/>
          <w:sz w:val="16"/>
          <w:szCs w:val="16"/>
        </w:rPr>
      </w:pPr>
    </w:p>
    <w:p w:rsidR="002305E5" w:rsidRDefault="002305E5" w:rsidP="00720918">
      <w:pPr>
        <w:pBdr>
          <w:bottom w:val="single" w:sz="4" w:space="1" w:color="auto"/>
        </w:pBdr>
        <w:rPr>
          <w:b/>
          <w:sz w:val="16"/>
          <w:szCs w:val="16"/>
        </w:rPr>
      </w:pPr>
    </w:p>
    <w:p w:rsidR="002305E5" w:rsidRDefault="002305E5" w:rsidP="00720918">
      <w:pPr>
        <w:pBdr>
          <w:bottom w:val="single" w:sz="4" w:space="1" w:color="auto"/>
        </w:pBdr>
        <w:rPr>
          <w:b/>
          <w:sz w:val="16"/>
          <w:szCs w:val="16"/>
        </w:rPr>
      </w:pPr>
    </w:p>
    <w:p w:rsidR="002305E5" w:rsidRDefault="002305E5" w:rsidP="00720918">
      <w:pPr>
        <w:pBdr>
          <w:bottom w:val="single" w:sz="4" w:space="1" w:color="auto"/>
        </w:pBdr>
        <w:rPr>
          <w:b/>
          <w:sz w:val="16"/>
          <w:szCs w:val="16"/>
        </w:rPr>
      </w:pPr>
    </w:p>
    <w:p w:rsidR="002305E5" w:rsidRDefault="002305E5" w:rsidP="00720918">
      <w:pPr>
        <w:pBdr>
          <w:bottom w:val="single" w:sz="4" w:space="1" w:color="auto"/>
        </w:pBdr>
        <w:rPr>
          <w:b/>
          <w:sz w:val="16"/>
          <w:szCs w:val="16"/>
        </w:rPr>
      </w:pPr>
    </w:p>
    <w:p w:rsidR="002305E5" w:rsidRDefault="002305E5" w:rsidP="00720918">
      <w:pPr>
        <w:pBdr>
          <w:bottom w:val="single" w:sz="4" w:space="1" w:color="auto"/>
        </w:pBdr>
        <w:rPr>
          <w:b/>
          <w:sz w:val="16"/>
          <w:szCs w:val="16"/>
        </w:rPr>
      </w:pPr>
    </w:p>
    <w:p w:rsidR="002305E5" w:rsidRDefault="002305E5" w:rsidP="00720918">
      <w:pPr>
        <w:pBdr>
          <w:bottom w:val="single" w:sz="4" w:space="1" w:color="auto"/>
        </w:pBdr>
        <w:rPr>
          <w:b/>
          <w:sz w:val="16"/>
          <w:szCs w:val="16"/>
        </w:rPr>
      </w:pPr>
    </w:p>
    <w:p w:rsidR="002305E5" w:rsidRDefault="002305E5" w:rsidP="00720918">
      <w:pPr>
        <w:pBdr>
          <w:bottom w:val="single" w:sz="4" w:space="1" w:color="auto"/>
        </w:pBdr>
        <w:rPr>
          <w:b/>
          <w:sz w:val="16"/>
          <w:szCs w:val="16"/>
        </w:rPr>
      </w:pPr>
    </w:p>
    <w:p w:rsidR="002305E5" w:rsidRDefault="002305E5" w:rsidP="00720918">
      <w:pPr>
        <w:pBdr>
          <w:bottom w:val="single" w:sz="4" w:space="1" w:color="auto"/>
        </w:pBdr>
        <w:rPr>
          <w:b/>
          <w:sz w:val="16"/>
          <w:szCs w:val="16"/>
        </w:rPr>
      </w:pPr>
    </w:p>
    <w:p w:rsidR="002305E5" w:rsidRDefault="002305E5" w:rsidP="00720918">
      <w:pPr>
        <w:pBdr>
          <w:bottom w:val="single" w:sz="4" w:space="1" w:color="auto"/>
        </w:pBdr>
        <w:rPr>
          <w:b/>
          <w:sz w:val="16"/>
          <w:szCs w:val="16"/>
        </w:rPr>
      </w:pPr>
    </w:p>
    <w:p w:rsidR="002305E5" w:rsidRDefault="002305E5" w:rsidP="00720918">
      <w:pPr>
        <w:pBdr>
          <w:bottom w:val="single" w:sz="4" w:space="1" w:color="auto"/>
        </w:pBdr>
        <w:rPr>
          <w:b/>
          <w:sz w:val="16"/>
          <w:szCs w:val="16"/>
        </w:rPr>
      </w:pPr>
    </w:p>
    <w:p w:rsidR="002305E5" w:rsidRDefault="002305E5" w:rsidP="00720918">
      <w:pPr>
        <w:pBdr>
          <w:bottom w:val="single" w:sz="4" w:space="1" w:color="auto"/>
        </w:pBdr>
        <w:rPr>
          <w:b/>
          <w:sz w:val="16"/>
          <w:szCs w:val="16"/>
        </w:rPr>
      </w:pPr>
    </w:p>
    <w:p w:rsidR="002305E5" w:rsidRDefault="002305E5" w:rsidP="00720918">
      <w:pPr>
        <w:pBdr>
          <w:bottom w:val="single" w:sz="4" w:space="1" w:color="auto"/>
        </w:pBdr>
        <w:rPr>
          <w:b/>
          <w:sz w:val="16"/>
          <w:szCs w:val="16"/>
        </w:rPr>
      </w:pPr>
    </w:p>
    <w:p w:rsidR="002305E5" w:rsidRDefault="002305E5" w:rsidP="00720918">
      <w:pPr>
        <w:pBdr>
          <w:bottom w:val="single" w:sz="4" w:space="1" w:color="auto"/>
        </w:pBdr>
        <w:rPr>
          <w:b/>
          <w:sz w:val="16"/>
          <w:szCs w:val="16"/>
        </w:rPr>
      </w:pPr>
    </w:p>
    <w:p w:rsidR="002305E5" w:rsidRDefault="002305E5" w:rsidP="00720918">
      <w:pPr>
        <w:pBdr>
          <w:bottom w:val="single" w:sz="4" w:space="1" w:color="auto"/>
        </w:pBdr>
        <w:rPr>
          <w:b/>
          <w:sz w:val="16"/>
          <w:szCs w:val="16"/>
        </w:rPr>
      </w:pPr>
    </w:p>
    <w:p w:rsidR="002305E5" w:rsidRDefault="002305E5" w:rsidP="00720918">
      <w:pPr>
        <w:pBdr>
          <w:bottom w:val="single" w:sz="4" w:space="1" w:color="auto"/>
        </w:pBdr>
        <w:rPr>
          <w:b/>
          <w:sz w:val="16"/>
          <w:szCs w:val="16"/>
        </w:rPr>
      </w:pPr>
    </w:p>
    <w:p w:rsidR="002305E5" w:rsidRDefault="002305E5" w:rsidP="00720918">
      <w:pPr>
        <w:pBdr>
          <w:bottom w:val="single" w:sz="4" w:space="1" w:color="auto"/>
        </w:pBdr>
        <w:rPr>
          <w:b/>
          <w:sz w:val="16"/>
          <w:szCs w:val="16"/>
        </w:rPr>
      </w:pPr>
    </w:p>
    <w:p w:rsidR="002305E5" w:rsidRDefault="002305E5" w:rsidP="00720918">
      <w:pPr>
        <w:pBdr>
          <w:bottom w:val="single" w:sz="4" w:space="1" w:color="auto"/>
        </w:pBdr>
        <w:rPr>
          <w:b/>
          <w:sz w:val="16"/>
          <w:szCs w:val="16"/>
        </w:rPr>
      </w:pPr>
    </w:p>
    <w:p w:rsidR="002305E5" w:rsidRDefault="002305E5" w:rsidP="00720918">
      <w:pPr>
        <w:pBdr>
          <w:bottom w:val="single" w:sz="4" w:space="1" w:color="auto"/>
        </w:pBdr>
        <w:rPr>
          <w:b/>
          <w:sz w:val="16"/>
          <w:szCs w:val="16"/>
        </w:rPr>
      </w:pPr>
    </w:p>
    <w:p w:rsidR="002305E5" w:rsidRDefault="002305E5" w:rsidP="00720918">
      <w:pPr>
        <w:pBdr>
          <w:bottom w:val="single" w:sz="4" w:space="1" w:color="auto"/>
        </w:pBdr>
        <w:rPr>
          <w:b/>
          <w:sz w:val="16"/>
          <w:szCs w:val="16"/>
        </w:rPr>
      </w:pPr>
    </w:p>
    <w:p w:rsidR="002305E5" w:rsidRDefault="002305E5" w:rsidP="00720918">
      <w:pPr>
        <w:pBdr>
          <w:bottom w:val="single" w:sz="4" w:space="1" w:color="auto"/>
        </w:pBdr>
        <w:rPr>
          <w:b/>
          <w:sz w:val="16"/>
          <w:szCs w:val="16"/>
        </w:rPr>
      </w:pPr>
    </w:p>
    <w:p w:rsidR="002305E5" w:rsidRDefault="002305E5" w:rsidP="00720918">
      <w:pPr>
        <w:pBdr>
          <w:bottom w:val="single" w:sz="4" w:space="1" w:color="auto"/>
        </w:pBdr>
        <w:rPr>
          <w:b/>
          <w:sz w:val="16"/>
          <w:szCs w:val="16"/>
        </w:rPr>
      </w:pPr>
    </w:p>
    <w:p w:rsidR="002305E5" w:rsidRDefault="002305E5" w:rsidP="00720918">
      <w:pPr>
        <w:pBdr>
          <w:bottom w:val="single" w:sz="4" w:space="1" w:color="auto"/>
        </w:pBdr>
        <w:rPr>
          <w:b/>
          <w:sz w:val="16"/>
          <w:szCs w:val="16"/>
        </w:rPr>
      </w:pPr>
    </w:p>
    <w:p w:rsidR="002305E5" w:rsidRDefault="002305E5" w:rsidP="00720918">
      <w:pPr>
        <w:pBdr>
          <w:bottom w:val="single" w:sz="4" w:space="1" w:color="auto"/>
        </w:pBdr>
        <w:rPr>
          <w:b/>
          <w:sz w:val="16"/>
          <w:szCs w:val="16"/>
        </w:rPr>
      </w:pPr>
    </w:p>
    <w:p w:rsidR="002305E5" w:rsidRDefault="002305E5" w:rsidP="00720918">
      <w:pPr>
        <w:pBdr>
          <w:bottom w:val="single" w:sz="4" w:space="1" w:color="auto"/>
        </w:pBdr>
        <w:rPr>
          <w:b/>
          <w:sz w:val="16"/>
          <w:szCs w:val="16"/>
        </w:rPr>
      </w:pPr>
    </w:p>
    <w:p w:rsidR="002305E5" w:rsidRDefault="002305E5" w:rsidP="00720918">
      <w:pPr>
        <w:pBdr>
          <w:bottom w:val="single" w:sz="4" w:space="1" w:color="auto"/>
        </w:pBdr>
        <w:rPr>
          <w:b/>
          <w:sz w:val="16"/>
          <w:szCs w:val="16"/>
        </w:rPr>
      </w:pPr>
    </w:p>
    <w:p w:rsidR="002305E5" w:rsidRDefault="002305E5" w:rsidP="00720918">
      <w:pPr>
        <w:pBdr>
          <w:bottom w:val="single" w:sz="4" w:space="1" w:color="auto"/>
        </w:pBdr>
        <w:rPr>
          <w:b/>
          <w:sz w:val="16"/>
          <w:szCs w:val="16"/>
        </w:rPr>
      </w:pPr>
    </w:p>
    <w:p w:rsidR="002305E5" w:rsidRDefault="002305E5" w:rsidP="00720918">
      <w:pPr>
        <w:pBdr>
          <w:bottom w:val="single" w:sz="4" w:space="1" w:color="auto"/>
        </w:pBdr>
        <w:rPr>
          <w:b/>
          <w:sz w:val="16"/>
          <w:szCs w:val="16"/>
        </w:rPr>
      </w:pPr>
    </w:p>
    <w:p w:rsidR="002305E5" w:rsidRDefault="002305E5" w:rsidP="00720918">
      <w:pPr>
        <w:pBdr>
          <w:bottom w:val="single" w:sz="4" w:space="1" w:color="auto"/>
        </w:pBdr>
        <w:rPr>
          <w:b/>
          <w:sz w:val="16"/>
          <w:szCs w:val="16"/>
        </w:rPr>
      </w:pPr>
    </w:p>
    <w:p w:rsidR="002305E5" w:rsidRDefault="002305E5" w:rsidP="00720918">
      <w:pPr>
        <w:pBdr>
          <w:bottom w:val="single" w:sz="4" w:space="1" w:color="auto"/>
        </w:pBdr>
        <w:rPr>
          <w:b/>
          <w:sz w:val="16"/>
          <w:szCs w:val="16"/>
        </w:rPr>
      </w:pPr>
    </w:p>
    <w:p w:rsidR="002305E5" w:rsidRDefault="002305E5" w:rsidP="00720918">
      <w:pPr>
        <w:pBdr>
          <w:bottom w:val="single" w:sz="4" w:space="1" w:color="auto"/>
        </w:pBdr>
        <w:rPr>
          <w:b/>
          <w:sz w:val="16"/>
          <w:szCs w:val="16"/>
        </w:rPr>
      </w:pPr>
    </w:p>
    <w:p w:rsidR="002305E5" w:rsidRDefault="002305E5" w:rsidP="00720918">
      <w:pPr>
        <w:pBdr>
          <w:bottom w:val="single" w:sz="4" w:space="1" w:color="auto"/>
        </w:pBdr>
        <w:rPr>
          <w:b/>
          <w:sz w:val="16"/>
          <w:szCs w:val="16"/>
        </w:rPr>
      </w:pPr>
    </w:p>
    <w:p w:rsidR="002305E5" w:rsidRDefault="002305E5" w:rsidP="00720918">
      <w:pPr>
        <w:pBdr>
          <w:bottom w:val="single" w:sz="4" w:space="1" w:color="auto"/>
        </w:pBdr>
        <w:rPr>
          <w:b/>
          <w:sz w:val="16"/>
          <w:szCs w:val="16"/>
        </w:rPr>
      </w:pPr>
    </w:p>
    <w:p w:rsidR="002305E5" w:rsidRDefault="002305E5" w:rsidP="00720918">
      <w:pPr>
        <w:pBdr>
          <w:bottom w:val="single" w:sz="4" w:space="1" w:color="auto"/>
        </w:pBdr>
        <w:rPr>
          <w:b/>
          <w:sz w:val="16"/>
          <w:szCs w:val="16"/>
        </w:rPr>
      </w:pPr>
    </w:p>
    <w:p w:rsidR="002305E5" w:rsidRDefault="002305E5" w:rsidP="00720918">
      <w:pPr>
        <w:pBdr>
          <w:bottom w:val="single" w:sz="4" w:space="1" w:color="auto"/>
        </w:pBdr>
        <w:rPr>
          <w:b/>
          <w:sz w:val="16"/>
          <w:szCs w:val="16"/>
        </w:rPr>
      </w:pPr>
    </w:p>
    <w:p w:rsidR="002305E5" w:rsidRDefault="002305E5" w:rsidP="00720918">
      <w:pPr>
        <w:pBdr>
          <w:bottom w:val="single" w:sz="4" w:space="1" w:color="auto"/>
        </w:pBdr>
        <w:rPr>
          <w:b/>
          <w:sz w:val="16"/>
          <w:szCs w:val="16"/>
        </w:rPr>
      </w:pPr>
    </w:p>
    <w:p w:rsidR="002305E5" w:rsidRDefault="002305E5" w:rsidP="00720918">
      <w:pPr>
        <w:pBdr>
          <w:bottom w:val="single" w:sz="4" w:space="1" w:color="auto"/>
        </w:pBdr>
        <w:rPr>
          <w:b/>
          <w:sz w:val="16"/>
          <w:szCs w:val="16"/>
        </w:rPr>
      </w:pPr>
    </w:p>
    <w:p w:rsidR="002305E5" w:rsidRDefault="002305E5" w:rsidP="00720918">
      <w:pPr>
        <w:pBdr>
          <w:bottom w:val="single" w:sz="4" w:space="1" w:color="auto"/>
        </w:pBdr>
        <w:rPr>
          <w:b/>
          <w:sz w:val="16"/>
          <w:szCs w:val="16"/>
        </w:rPr>
      </w:pPr>
    </w:p>
    <w:p w:rsidR="00877E6E" w:rsidRDefault="00BF5D0C" w:rsidP="00A03BD9">
      <w:pPr>
        <w:pBdr>
          <w:bottom w:val="single" w:sz="4" w:space="1" w:color="auto"/>
        </w:pBdr>
        <w:rPr>
          <w:b/>
        </w:rPr>
      </w:pPr>
      <w:r>
        <w:rPr>
          <w:b/>
        </w:rPr>
        <w:lastRenderedPageBreak/>
        <w:t xml:space="preserve">Designing High Impact Research </w:t>
      </w:r>
    </w:p>
    <w:p w:rsidR="003E38C6" w:rsidRDefault="00877E6E" w:rsidP="00A03BD9">
      <w:pPr>
        <w:pBdr>
          <w:bottom w:val="single" w:sz="4" w:space="1" w:color="auto"/>
        </w:pBdr>
        <w:rPr>
          <w:b/>
        </w:rPr>
      </w:pPr>
      <w:r>
        <w:rPr>
          <w:b/>
        </w:rPr>
        <w:t>S</w:t>
      </w:r>
      <w:r w:rsidR="00BF5D0C">
        <w:rPr>
          <w:b/>
        </w:rPr>
        <w:t>mall G</w:t>
      </w:r>
      <w:r w:rsidR="00720918">
        <w:rPr>
          <w:b/>
        </w:rPr>
        <w:t xml:space="preserve">roup </w:t>
      </w:r>
      <w:r w:rsidR="00BF5D0C">
        <w:rPr>
          <w:b/>
        </w:rPr>
        <w:t xml:space="preserve">Activity </w:t>
      </w:r>
      <w:r w:rsidR="003B144F">
        <w:rPr>
          <w:b/>
        </w:rPr>
        <w:t>3</w:t>
      </w:r>
      <w:r w:rsidR="00BF5D0C">
        <w:rPr>
          <w:b/>
        </w:rPr>
        <w:t xml:space="preserve"> </w:t>
      </w:r>
      <w:r w:rsidR="00D36963">
        <w:rPr>
          <w:b/>
        </w:rPr>
        <w:t>– WORKSHEET</w:t>
      </w:r>
      <w:r w:rsidR="003E38C6">
        <w:rPr>
          <w:b/>
        </w:rPr>
        <w:tab/>
      </w:r>
    </w:p>
    <w:p w:rsidR="00720918" w:rsidRDefault="003B144F" w:rsidP="001379C7">
      <w:pPr>
        <w:pBdr>
          <w:bottom w:val="single" w:sz="4" w:space="1" w:color="auto"/>
        </w:pBdr>
        <w:tabs>
          <w:tab w:val="left" w:pos="4440"/>
        </w:tabs>
      </w:pPr>
      <w:r w:rsidRPr="00482C0A">
        <w:rPr>
          <w:b/>
        </w:rPr>
        <w:t>Developing a Data Use Action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2391"/>
        <w:gridCol w:w="2483"/>
        <w:gridCol w:w="2244"/>
        <w:gridCol w:w="959"/>
        <w:gridCol w:w="1772"/>
        <w:gridCol w:w="2335"/>
        <w:gridCol w:w="1964"/>
      </w:tblGrid>
      <w:tr w:rsidR="002305E5" w:rsidTr="001379C7">
        <w:tc>
          <w:tcPr>
            <w:tcW w:w="468" w:type="dxa"/>
          </w:tcPr>
          <w:p w:rsidR="005F1107" w:rsidRDefault="005F1107">
            <w:pPr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2391" w:type="dxa"/>
          </w:tcPr>
          <w:p w:rsidR="005F1107" w:rsidRDefault="005F1107">
            <w:pPr>
              <w:rPr>
                <w:b/>
              </w:rPr>
            </w:pPr>
            <w:r>
              <w:rPr>
                <w:b/>
              </w:rPr>
              <w:t>Questions</w:t>
            </w:r>
          </w:p>
        </w:tc>
        <w:tc>
          <w:tcPr>
            <w:tcW w:w="2483" w:type="dxa"/>
          </w:tcPr>
          <w:p w:rsidR="005F1107" w:rsidRDefault="005F1107">
            <w:pPr>
              <w:rPr>
                <w:b/>
              </w:rPr>
            </w:pPr>
            <w:r>
              <w:rPr>
                <w:b/>
              </w:rPr>
              <w:t>Findings</w:t>
            </w:r>
          </w:p>
        </w:tc>
        <w:tc>
          <w:tcPr>
            <w:tcW w:w="2244" w:type="dxa"/>
          </w:tcPr>
          <w:p w:rsidR="005F1107" w:rsidRDefault="005F1107">
            <w:pPr>
              <w:rPr>
                <w:b/>
              </w:rPr>
            </w:pPr>
            <w:r>
              <w:rPr>
                <w:b/>
              </w:rPr>
              <w:t>Recommendations</w:t>
            </w:r>
          </w:p>
        </w:tc>
        <w:tc>
          <w:tcPr>
            <w:tcW w:w="959" w:type="dxa"/>
          </w:tcPr>
          <w:p w:rsidR="005F1107" w:rsidRDefault="005F1107">
            <w:pPr>
              <w:rPr>
                <w:b/>
              </w:rPr>
            </w:pPr>
            <w:r>
              <w:rPr>
                <w:b/>
              </w:rPr>
              <w:t>Priority</w:t>
            </w:r>
          </w:p>
        </w:tc>
        <w:tc>
          <w:tcPr>
            <w:tcW w:w="1772" w:type="dxa"/>
          </w:tcPr>
          <w:p w:rsidR="005F1107" w:rsidRDefault="005F1107">
            <w:pPr>
              <w:rPr>
                <w:b/>
              </w:rPr>
            </w:pPr>
            <w:r>
              <w:rPr>
                <w:b/>
              </w:rPr>
              <w:t>Lead Decision Maker</w:t>
            </w:r>
            <w:r w:rsidR="00547855">
              <w:rPr>
                <w:b/>
              </w:rPr>
              <w:t xml:space="preserve"> (LDM)</w:t>
            </w:r>
          </w:p>
        </w:tc>
        <w:tc>
          <w:tcPr>
            <w:tcW w:w="2335" w:type="dxa"/>
          </w:tcPr>
          <w:p w:rsidR="005F1107" w:rsidRDefault="005F1107">
            <w:pPr>
              <w:rPr>
                <w:b/>
              </w:rPr>
            </w:pPr>
            <w:r>
              <w:rPr>
                <w:b/>
              </w:rPr>
              <w:t>Stakeholders Impacted</w:t>
            </w:r>
          </w:p>
        </w:tc>
        <w:tc>
          <w:tcPr>
            <w:tcW w:w="1964" w:type="dxa"/>
          </w:tcPr>
          <w:p w:rsidR="005F1107" w:rsidRDefault="005F1107">
            <w:pPr>
              <w:rPr>
                <w:b/>
              </w:rPr>
            </w:pPr>
            <w:r>
              <w:rPr>
                <w:b/>
              </w:rPr>
              <w:t>Communication Channel</w:t>
            </w:r>
          </w:p>
        </w:tc>
      </w:tr>
      <w:tr w:rsidR="002305E5" w:rsidTr="001379C7">
        <w:tc>
          <w:tcPr>
            <w:tcW w:w="468" w:type="dxa"/>
          </w:tcPr>
          <w:p w:rsidR="005F1107" w:rsidRDefault="005F110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91" w:type="dxa"/>
          </w:tcPr>
          <w:p w:rsidR="005F1107" w:rsidRPr="005F1107" w:rsidRDefault="005F1107" w:rsidP="00A67DD5">
            <w:r w:rsidRPr="005F1107">
              <w:t>Can injectable contraception</w:t>
            </w:r>
            <w:r>
              <w:t xml:space="preserve"> (DMPA) </w:t>
            </w:r>
            <w:r w:rsidRPr="005F1107">
              <w:t xml:space="preserve">be provided </w:t>
            </w:r>
            <w:r w:rsidR="00A67DD5" w:rsidRPr="005F1107">
              <w:t xml:space="preserve">safely </w:t>
            </w:r>
            <w:r w:rsidRPr="005F1107">
              <w:t>by paramedical workers to increase CPR?</w:t>
            </w:r>
          </w:p>
        </w:tc>
        <w:tc>
          <w:tcPr>
            <w:tcW w:w="2483" w:type="dxa"/>
          </w:tcPr>
          <w:p w:rsidR="00D71CD7" w:rsidRPr="00D71CD7" w:rsidRDefault="002F2BF0" w:rsidP="00D71CD7">
            <w:pPr>
              <w:rPr>
                <w:rFonts w:cs="TimesNewRomanPSMT"/>
                <w:lang w:bidi="ar-SA"/>
              </w:rPr>
            </w:pPr>
            <w:r>
              <w:rPr>
                <w:rFonts w:cs="TimesNewRomanPSMT"/>
                <w:lang w:bidi="ar-SA"/>
              </w:rPr>
              <w:t>–</w:t>
            </w:r>
            <w:r w:rsidR="001C08E4">
              <w:rPr>
                <w:rFonts w:cs="TimesNewRomanPSMT"/>
                <w:lang w:bidi="ar-SA"/>
              </w:rPr>
              <w:t xml:space="preserve"> </w:t>
            </w:r>
            <w:r w:rsidR="005F1107" w:rsidRPr="00D71CD7">
              <w:rPr>
                <w:rFonts w:cs="TimesNewRomanPSMT"/>
                <w:lang w:bidi="ar-SA"/>
              </w:rPr>
              <w:t>All paramedical workers provided DMPA services according to the standards that the MOH had established</w:t>
            </w:r>
            <w:r w:rsidR="00A67DD5">
              <w:rPr>
                <w:rFonts w:cs="TimesNewRomanPSMT"/>
                <w:lang w:bidi="ar-SA"/>
              </w:rPr>
              <w:t>.</w:t>
            </w:r>
          </w:p>
          <w:p w:rsidR="005F1107" w:rsidRPr="00D71CD7" w:rsidRDefault="002F2BF0" w:rsidP="00D71CD7">
            <w:pPr>
              <w:rPr>
                <w:lang w:bidi="ar-SA"/>
              </w:rPr>
            </w:pPr>
            <w:r>
              <w:rPr>
                <w:rFonts w:cs="TimesNewRomanPSMT"/>
                <w:lang w:bidi="ar-SA"/>
              </w:rPr>
              <w:t>–</w:t>
            </w:r>
            <w:r w:rsidR="001C08E4">
              <w:rPr>
                <w:lang w:bidi="ar-SA"/>
              </w:rPr>
              <w:t xml:space="preserve"> </w:t>
            </w:r>
            <w:r w:rsidR="005F1107" w:rsidRPr="00D71CD7">
              <w:rPr>
                <w:lang w:bidi="ar-SA"/>
              </w:rPr>
              <w:t>No adverse events were reported.</w:t>
            </w:r>
          </w:p>
        </w:tc>
        <w:tc>
          <w:tcPr>
            <w:tcW w:w="2244" w:type="dxa"/>
          </w:tcPr>
          <w:p w:rsidR="005F1107" w:rsidRPr="005F1107" w:rsidRDefault="005F1107"/>
        </w:tc>
        <w:tc>
          <w:tcPr>
            <w:tcW w:w="959" w:type="dxa"/>
          </w:tcPr>
          <w:p w:rsidR="005F1107" w:rsidRPr="005F1107" w:rsidRDefault="005F1107"/>
        </w:tc>
        <w:tc>
          <w:tcPr>
            <w:tcW w:w="1772" w:type="dxa"/>
          </w:tcPr>
          <w:p w:rsidR="005F1107" w:rsidRPr="005F1107" w:rsidRDefault="005F1107"/>
        </w:tc>
        <w:tc>
          <w:tcPr>
            <w:tcW w:w="2335" w:type="dxa"/>
          </w:tcPr>
          <w:p w:rsidR="005F1107" w:rsidRDefault="003B37EC">
            <w:r>
              <w:t>1.</w:t>
            </w:r>
          </w:p>
          <w:p w:rsidR="003B37EC" w:rsidRPr="005F1107" w:rsidRDefault="003B37EC">
            <w:r>
              <w:t>2.</w:t>
            </w:r>
          </w:p>
        </w:tc>
        <w:tc>
          <w:tcPr>
            <w:tcW w:w="1964" w:type="dxa"/>
          </w:tcPr>
          <w:p w:rsidR="008F4C24" w:rsidRDefault="008F4C24">
            <w:r>
              <w:t>LDM</w:t>
            </w:r>
          </w:p>
          <w:p w:rsidR="005F1107" w:rsidRDefault="001C08E4">
            <w:r>
              <w:t>1.</w:t>
            </w:r>
          </w:p>
          <w:p w:rsidR="001C08E4" w:rsidRPr="005F1107" w:rsidRDefault="001C08E4">
            <w:r>
              <w:t>2.</w:t>
            </w:r>
          </w:p>
        </w:tc>
      </w:tr>
      <w:tr w:rsidR="002305E5" w:rsidTr="00F008B7">
        <w:tc>
          <w:tcPr>
            <w:tcW w:w="468" w:type="dxa"/>
          </w:tcPr>
          <w:p w:rsidR="005F1107" w:rsidRDefault="005F1107">
            <w:pPr>
              <w:rPr>
                <w:b/>
              </w:rPr>
            </w:pPr>
            <w:r>
              <w:rPr>
                <w:b/>
              </w:rPr>
              <w:t>1</w:t>
            </w:r>
            <w:r w:rsidR="00366E9E">
              <w:rPr>
                <w:b/>
              </w:rPr>
              <w:t>a</w:t>
            </w:r>
          </w:p>
        </w:tc>
        <w:tc>
          <w:tcPr>
            <w:tcW w:w="2391" w:type="dxa"/>
          </w:tcPr>
          <w:p w:rsidR="005F1107" w:rsidRPr="005F1107" w:rsidRDefault="005F1107" w:rsidP="005F1107">
            <w:r w:rsidRPr="005F1107">
              <w:t xml:space="preserve">Were clients </w:t>
            </w:r>
            <w:r>
              <w:t xml:space="preserve">and nurse supervisors </w:t>
            </w:r>
            <w:r w:rsidRPr="005F1107">
              <w:t>satisfied with the new service?</w:t>
            </w:r>
          </w:p>
        </w:tc>
        <w:tc>
          <w:tcPr>
            <w:tcW w:w="2483" w:type="dxa"/>
          </w:tcPr>
          <w:p w:rsidR="00A714F8" w:rsidRDefault="002F2BF0" w:rsidP="00A714F8">
            <w:r>
              <w:rPr>
                <w:rFonts w:cs="TimesNewRomanPSMT"/>
                <w:lang w:bidi="ar-SA"/>
              </w:rPr>
              <w:t>–</w:t>
            </w:r>
            <w:r w:rsidR="001C08E4">
              <w:t xml:space="preserve"> </w:t>
            </w:r>
            <w:r w:rsidR="00A714F8">
              <w:t>96% of women had a favorable interaction with the paramedical worker.</w:t>
            </w:r>
          </w:p>
          <w:p w:rsidR="005F1107" w:rsidRPr="00413A32" w:rsidRDefault="002F2BF0" w:rsidP="002F2BF0">
            <w:pPr>
              <w:autoSpaceDE w:val="0"/>
              <w:autoSpaceDN w:val="0"/>
              <w:adjustRightInd w:val="0"/>
              <w:rPr>
                <w:rFonts w:cs="TimesNewRomanPSMT"/>
                <w:lang w:bidi="ar-SA"/>
              </w:rPr>
            </w:pPr>
            <w:r>
              <w:rPr>
                <w:rFonts w:cs="TimesNewRomanPSMT"/>
                <w:lang w:bidi="ar-SA"/>
              </w:rPr>
              <w:t>–</w:t>
            </w:r>
            <w:r w:rsidR="00786275">
              <w:t xml:space="preserve"> </w:t>
            </w:r>
            <w:r w:rsidR="00A714F8" w:rsidRPr="00A714F8">
              <w:rPr>
                <w:rFonts w:cs="TimesNewRomanPSMT"/>
                <w:lang w:bidi="ar-SA"/>
              </w:rPr>
              <w:t>84% of supervisors were in favor of</w:t>
            </w:r>
            <w:r w:rsidR="00413A32">
              <w:rPr>
                <w:rFonts w:cs="TimesNewRomanPSMT"/>
                <w:lang w:bidi="ar-SA"/>
              </w:rPr>
              <w:t xml:space="preserve"> </w:t>
            </w:r>
            <w:r w:rsidR="00A714F8" w:rsidRPr="00A714F8">
              <w:rPr>
                <w:rFonts w:cs="TimesNewRomanPSMT"/>
                <w:lang w:bidi="ar-SA"/>
              </w:rPr>
              <w:t xml:space="preserve">scaling up the </w:t>
            </w:r>
            <w:r w:rsidR="00A714F8">
              <w:rPr>
                <w:rFonts w:cs="TimesNewRomanPSMT"/>
                <w:lang w:bidi="ar-SA"/>
              </w:rPr>
              <w:t>program to</w:t>
            </w:r>
            <w:r w:rsidR="00A714F8" w:rsidRPr="00A714F8">
              <w:rPr>
                <w:rFonts w:cs="TimesNewRomanPSMT"/>
                <w:lang w:bidi="ar-SA"/>
              </w:rPr>
              <w:t xml:space="preserve"> the national level</w:t>
            </w:r>
            <w:r w:rsidR="00A714F8">
              <w:rPr>
                <w:rFonts w:cs="TimesNewRomanPSMT"/>
                <w:lang w:bidi="ar-SA"/>
              </w:rPr>
              <w:t>.</w:t>
            </w:r>
          </w:p>
        </w:tc>
        <w:tc>
          <w:tcPr>
            <w:tcW w:w="2244" w:type="dxa"/>
          </w:tcPr>
          <w:p w:rsidR="005F1107" w:rsidRPr="005F1107" w:rsidRDefault="005F1107"/>
        </w:tc>
        <w:tc>
          <w:tcPr>
            <w:tcW w:w="959" w:type="dxa"/>
          </w:tcPr>
          <w:p w:rsidR="005F1107" w:rsidRPr="005F1107" w:rsidRDefault="005F1107"/>
        </w:tc>
        <w:tc>
          <w:tcPr>
            <w:tcW w:w="1772" w:type="dxa"/>
          </w:tcPr>
          <w:p w:rsidR="005F1107" w:rsidRPr="005F1107" w:rsidRDefault="005F1107"/>
        </w:tc>
        <w:tc>
          <w:tcPr>
            <w:tcW w:w="2335" w:type="dxa"/>
          </w:tcPr>
          <w:p w:rsidR="005F1107" w:rsidRPr="005F1107" w:rsidRDefault="005F1107"/>
        </w:tc>
        <w:tc>
          <w:tcPr>
            <w:tcW w:w="1964" w:type="dxa"/>
          </w:tcPr>
          <w:p w:rsidR="005F1107" w:rsidRPr="005F1107" w:rsidRDefault="005F1107"/>
        </w:tc>
      </w:tr>
      <w:tr w:rsidR="002305E5" w:rsidTr="00F008B7">
        <w:tc>
          <w:tcPr>
            <w:tcW w:w="468" w:type="dxa"/>
          </w:tcPr>
          <w:p w:rsidR="005F1107" w:rsidRDefault="00A714F8">
            <w:pPr>
              <w:rPr>
                <w:b/>
              </w:rPr>
            </w:pPr>
            <w:r>
              <w:rPr>
                <w:b/>
              </w:rPr>
              <w:t>1</w:t>
            </w:r>
            <w:r w:rsidR="00366E9E">
              <w:rPr>
                <w:b/>
              </w:rPr>
              <w:t>b</w:t>
            </w:r>
          </w:p>
        </w:tc>
        <w:tc>
          <w:tcPr>
            <w:tcW w:w="2391" w:type="dxa"/>
          </w:tcPr>
          <w:p w:rsidR="005F1107" w:rsidRPr="005F1107" w:rsidRDefault="005F1107">
            <w:r>
              <w:t>Did contraceptive use increase?</w:t>
            </w:r>
          </w:p>
        </w:tc>
        <w:tc>
          <w:tcPr>
            <w:tcW w:w="2483" w:type="dxa"/>
          </w:tcPr>
          <w:p w:rsidR="005F1107" w:rsidRPr="00D71CD7" w:rsidRDefault="005F1107" w:rsidP="00413A32">
            <w:pPr>
              <w:autoSpaceDE w:val="0"/>
              <w:autoSpaceDN w:val="0"/>
              <w:adjustRightInd w:val="0"/>
            </w:pPr>
            <w:r w:rsidRPr="00D71CD7">
              <w:rPr>
                <w:rFonts w:cs="Times-Roman"/>
                <w:lang w:bidi="ar-SA"/>
              </w:rPr>
              <w:t xml:space="preserve">Of the </w:t>
            </w:r>
            <w:r w:rsidR="00A714F8" w:rsidRPr="00D71CD7">
              <w:rPr>
                <w:rFonts w:cs="Times-Roman"/>
                <w:lang w:bidi="ar-SA"/>
              </w:rPr>
              <w:t>clients who accepted DMPA, 41%</w:t>
            </w:r>
            <w:r w:rsidRPr="00D71CD7">
              <w:rPr>
                <w:rFonts w:cs="Times-Roman"/>
                <w:lang w:bidi="ar-SA"/>
              </w:rPr>
              <w:t xml:space="preserve"> were </w:t>
            </w:r>
            <w:r w:rsidR="00413A32" w:rsidRPr="00D71CD7">
              <w:rPr>
                <w:rFonts w:cs="Times-Roman"/>
                <w:lang w:bidi="ar-SA"/>
              </w:rPr>
              <w:t xml:space="preserve">either </w:t>
            </w:r>
            <w:r w:rsidRPr="00D71CD7">
              <w:rPr>
                <w:rFonts w:cs="Times-Roman"/>
                <w:lang w:bidi="ar-SA"/>
              </w:rPr>
              <w:t>new users of family planning or were resuming family planning after a hiatus.</w:t>
            </w:r>
          </w:p>
        </w:tc>
        <w:tc>
          <w:tcPr>
            <w:tcW w:w="2244" w:type="dxa"/>
          </w:tcPr>
          <w:p w:rsidR="005F1107" w:rsidRPr="005F1107" w:rsidRDefault="005F1107"/>
        </w:tc>
        <w:tc>
          <w:tcPr>
            <w:tcW w:w="959" w:type="dxa"/>
          </w:tcPr>
          <w:p w:rsidR="005F1107" w:rsidRPr="005F1107" w:rsidRDefault="005F1107"/>
        </w:tc>
        <w:tc>
          <w:tcPr>
            <w:tcW w:w="1772" w:type="dxa"/>
          </w:tcPr>
          <w:p w:rsidR="005F1107" w:rsidRPr="005F1107" w:rsidRDefault="005F1107"/>
        </w:tc>
        <w:tc>
          <w:tcPr>
            <w:tcW w:w="2335" w:type="dxa"/>
          </w:tcPr>
          <w:p w:rsidR="005F1107" w:rsidRPr="005F1107" w:rsidRDefault="005F1107"/>
        </w:tc>
        <w:tc>
          <w:tcPr>
            <w:tcW w:w="1964" w:type="dxa"/>
          </w:tcPr>
          <w:p w:rsidR="005F1107" w:rsidRPr="005F1107" w:rsidRDefault="005F1107"/>
        </w:tc>
      </w:tr>
      <w:tr w:rsidR="002305E5" w:rsidTr="00F008B7">
        <w:tc>
          <w:tcPr>
            <w:tcW w:w="468" w:type="dxa"/>
          </w:tcPr>
          <w:p w:rsidR="005F1107" w:rsidRDefault="00A714F8">
            <w:pPr>
              <w:rPr>
                <w:b/>
              </w:rPr>
            </w:pPr>
            <w:r>
              <w:rPr>
                <w:b/>
              </w:rPr>
              <w:t>1</w:t>
            </w:r>
            <w:r w:rsidR="00366E9E">
              <w:rPr>
                <w:b/>
              </w:rPr>
              <w:t>c</w:t>
            </w:r>
          </w:p>
        </w:tc>
        <w:tc>
          <w:tcPr>
            <w:tcW w:w="2391" w:type="dxa"/>
          </w:tcPr>
          <w:p w:rsidR="005F1107" w:rsidRPr="002D12D6" w:rsidRDefault="005F1107">
            <w:r w:rsidRPr="002D12D6">
              <w:t xml:space="preserve">Did clients return to the </w:t>
            </w:r>
            <w:r w:rsidR="00A714F8" w:rsidRPr="002D12D6">
              <w:t xml:space="preserve">paramedical worker </w:t>
            </w:r>
            <w:r w:rsidRPr="002D12D6">
              <w:t>for repeat injections?</w:t>
            </w:r>
          </w:p>
        </w:tc>
        <w:tc>
          <w:tcPr>
            <w:tcW w:w="2483" w:type="dxa"/>
          </w:tcPr>
          <w:p w:rsidR="005F1107" w:rsidRPr="002D12D6" w:rsidRDefault="00A714F8" w:rsidP="00873FF9">
            <w:pPr>
              <w:autoSpaceDE w:val="0"/>
              <w:autoSpaceDN w:val="0"/>
              <w:adjustRightInd w:val="0"/>
            </w:pPr>
            <w:r w:rsidRPr="002D12D6">
              <w:rPr>
                <w:rFonts w:cs="Times-Roman"/>
                <w:lang w:bidi="ar-SA"/>
              </w:rPr>
              <w:t xml:space="preserve">Of women who had initiated DMPA by the paramedical worker </w:t>
            </w:r>
            <w:r w:rsidR="00F008B7">
              <w:rPr>
                <w:rFonts w:cs="Times-Roman"/>
                <w:lang w:bidi="ar-SA"/>
              </w:rPr>
              <w:t xml:space="preserve">&amp; </w:t>
            </w:r>
            <w:r w:rsidRPr="002D12D6">
              <w:rPr>
                <w:rFonts w:cs="Times-Roman"/>
                <w:lang w:bidi="ar-SA"/>
              </w:rPr>
              <w:t xml:space="preserve">were eligible for a </w:t>
            </w:r>
            <w:r w:rsidR="00F008B7">
              <w:rPr>
                <w:rFonts w:cs="Times-Roman"/>
                <w:lang w:bidi="ar-SA"/>
              </w:rPr>
              <w:t>2</w:t>
            </w:r>
            <w:r w:rsidR="00F008B7" w:rsidRPr="00F008B7">
              <w:rPr>
                <w:rFonts w:cs="Times-Roman"/>
                <w:vertAlign w:val="superscript"/>
                <w:lang w:bidi="ar-SA"/>
              </w:rPr>
              <w:t>nd</w:t>
            </w:r>
            <w:r w:rsidR="00F008B7">
              <w:rPr>
                <w:rFonts w:cs="Times-Roman"/>
                <w:lang w:bidi="ar-SA"/>
              </w:rPr>
              <w:t xml:space="preserve"> </w:t>
            </w:r>
            <w:r w:rsidRPr="002D12D6">
              <w:rPr>
                <w:rFonts w:cs="Times-Roman"/>
                <w:lang w:bidi="ar-SA"/>
              </w:rPr>
              <w:t>injection,</w:t>
            </w:r>
            <w:r w:rsidR="002F2BF0">
              <w:rPr>
                <w:rFonts w:cs="Times-Roman"/>
                <w:lang w:bidi="ar-SA"/>
              </w:rPr>
              <w:t xml:space="preserve"> </w:t>
            </w:r>
            <w:r w:rsidR="00F008B7">
              <w:rPr>
                <w:rFonts w:cs="Times-Roman"/>
                <w:lang w:bidi="ar-SA"/>
              </w:rPr>
              <w:t>96% received 2</w:t>
            </w:r>
            <w:r w:rsidR="00F008B7" w:rsidRPr="00F008B7">
              <w:rPr>
                <w:rFonts w:cs="Times-Roman"/>
                <w:vertAlign w:val="superscript"/>
                <w:lang w:bidi="ar-SA"/>
              </w:rPr>
              <w:t>nd</w:t>
            </w:r>
            <w:r w:rsidR="00F008B7">
              <w:rPr>
                <w:rFonts w:cs="Times-Roman"/>
                <w:lang w:bidi="ar-SA"/>
              </w:rPr>
              <w:t xml:space="preserve"> </w:t>
            </w:r>
            <w:r w:rsidRPr="002D12D6">
              <w:rPr>
                <w:rFonts w:cs="Times-Roman"/>
                <w:lang w:bidi="ar-SA"/>
              </w:rPr>
              <w:t>injection</w:t>
            </w:r>
            <w:r w:rsidR="002F2BF0">
              <w:rPr>
                <w:rFonts w:cs="Times-Roman"/>
                <w:lang w:bidi="ar-SA"/>
              </w:rPr>
              <w:t>.</w:t>
            </w:r>
          </w:p>
        </w:tc>
        <w:tc>
          <w:tcPr>
            <w:tcW w:w="2244" w:type="dxa"/>
          </w:tcPr>
          <w:p w:rsidR="005F1107" w:rsidRPr="005F1107" w:rsidRDefault="005F1107"/>
        </w:tc>
        <w:tc>
          <w:tcPr>
            <w:tcW w:w="959" w:type="dxa"/>
          </w:tcPr>
          <w:p w:rsidR="005F1107" w:rsidRPr="005F1107" w:rsidRDefault="005F1107"/>
        </w:tc>
        <w:tc>
          <w:tcPr>
            <w:tcW w:w="1772" w:type="dxa"/>
          </w:tcPr>
          <w:p w:rsidR="005F1107" w:rsidRPr="005F1107" w:rsidRDefault="005F1107"/>
        </w:tc>
        <w:tc>
          <w:tcPr>
            <w:tcW w:w="2335" w:type="dxa"/>
          </w:tcPr>
          <w:p w:rsidR="005F1107" w:rsidRPr="005F1107" w:rsidRDefault="005F1107"/>
        </w:tc>
        <w:tc>
          <w:tcPr>
            <w:tcW w:w="1964" w:type="dxa"/>
          </w:tcPr>
          <w:p w:rsidR="005F1107" w:rsidRPr="005F1107" w:rsidRDefault="005F1107"/>
        </w:tc>
      </w:tr>
    </w:tbl>
    <w:p w:rsidR="00F008B7" w:rsidRDefault="00F008B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2391"/>
        <w:gridCol w:w="2483"/>
        <w:gridCol w:w="2244"/>
        <w:gridCol w:w="959"/>
        <w:gridCol w:w="1772"/>
        <w:gridCol w:w="2335"/>
        <w:gridCol w:w="1964"/>
      </w:tblGrid>
      <w:tr w:rsidR="005F24C0" w:rsidTr="00F008B7">
        <w:tc>
          <w:tcPr>
            <w:tcW w:w="468" w:type="dxa"/>
          </w:tcPr>
          <w:p w:rsidR="005F24C0" w:rsidRDefault="005F24C0" w:rsidP="00413A32">
            <w:pPr>
              <w:rPr>
                <w:b/>
              </w:rPr>
            </w:pPr>
            <w:r>
              <w:rPr>
                <w:b/>
              </w:rPr>
              <w:lastRenderedPageBreak/>
              <w:t>#</w:t>
            </w:r>
          </w:p>
        </w:tc>
        <w:tc>
          <w:tcPr>
            <w:tcW w:w="2391" w:type="dxa"/>
          </w:tcPr>
          <w:p w:rsidR="005F24C0" w:rsidRDefault="005F24C0" w:rsidP="00413A32">
            <w:pPr>
              <w:rPr>
                <w:b/>
              </w:rPr>
            </w:pPr>
            <w:r>
              <w:rPr>
                <w:b/>
              </w:rPr>
              <w:t>Questions</w:t>
            </w:r>
          </w:p>
        </w:tc>
        <w:tc>
          <w:tcPr>
            <w:tcW w:w="2483" w:type="dxa"/>
          </w:tcPr>
          <w:p w:rsidR="005F24C0" w:rsidRDefault="005F24C0" w:rsidP="00413A32">
            <w:pPr>
              <w:rPr>
                <w:b/>
              </w:rPr>
            </w:pPr>
            <w:r>
              <w:rPr>
                <w:b/>
              </w:rPr>
              <w:t>Findings</w:t>
            </w:r>
          </w:p>
        </w:tc>
        <w:tc>
          <w:tcPr>
            <w:tcW w:w="2244" w:type="dxa"/>
          </w:tcPr>
          <w:p w:rsidR="005F24C0" w:rsidRDefault="005F24C0" w:rsidP="00413A32">
            <w:pPr>
              <w:rPr>
                <w:b/>
              </w:rPr>
            </w:pPr>
            <w:r>
              <w:rPr>
                <w:b/>
              </w:rPr>
              <w:t>Recommendations</w:t>
            </w:r>
          </w:p>
        </w:tc>
        <w:tc>
          <w:tcPr>
            <w:tcW w:w="959" w:type="dxa"/>
          </w:tcPr>
          <w:p w:rsidR="005F24C0" w:rsidRDefault="005F24C0" w:rsidP="00413A32">
            <w:pPr>
              <w:rPr>
                <w:b/>
              </w:rPr>
            </w:pPr>
            <w:r>
              <w:rPr>
                <w:b/>
              </w:rPr>
              <w:t>Priority</w:t>
            </w:r>
          </w:p>
        </w:tc>
        <w:tc>
          <w:tcPr>
            <w:tcW w:w="1772" w:type="dxa"/>
          </w:tcPr>
          <w:p w:rsidR="005F24C0" w:rsidRDefault="005F24C0" w:rsidP="00413A32">
            <w:pPr>
              <w:rPr>
                <w:b/>
              </w:rPr>
            </w:pPr>
            <w:r>
              <w:rPr>
                <w:b/>
              </w:rPr>
              <w:t>Lead Decision Maker</w:t>
            </w:r>
            <w:r w:rsidR="00547855">
              <w:rPr>
                <w:b/>
              </w:rPr>
              <w:t xml:space="preserve"> (LDM)</w:t>
            </w:r>
          </w:p>
        </w:tc>
        <w:tc>
          <w:tcPr>
            <w:tcW w:w="2335" w:type="dxa"/>
          </w:tcPr>
          <w:p w:rsidR="005F24C0" w:rsidRDefault="005F24C0" w:rsidP="00413A32">
            <w:pPr>
              <w:rPr>
                <w:b/>
              </w:rPr>
            </w:pPr>
            <w:r>
              <w:rPr>
                <w:b/>
              </w:rPr>
              <w:t>Stakeholders Impacted</w:t>
            </w:r>
          </w:p>
        </w:tc>
        <w:tc>
          <w:tcPr>
            <w:tcW w:w="1964" w:type="dxa"/>
          </w:tcPr>
          <w:p w:rsidR="005F24C0" w:rsidRDefault="005F24C0" w:rsidP="00413A32">
            <w:pPr>
              <w:rPr>
                <w:b/>
              </w:rPr>
            </w:pPr>
            <w:r>
              <w:rPr>
                <w:b/>
              </w:rPr>
              <w:t>Communication Channel</w:t>
            </w:r>
          </w:p>
        </w:tc>
      </w:tr>
      <w:tr w:rsidR="00C915CF" w:rsidTr="00F008B7">
        <w:tc>
          <w:tcPr>
            <w:tcW w:w="468" w:type="dxa"/>
          </w:tcPr>
          <w:p w:rsidR="005F1107" w:rsidRDefault="002E44D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91" w:type="dxa"/>
          </w:tcPr>
          <w:p w:rsidR="005F1107" w:rsidRPr="005F1107" w:rsidRDefault="002E44D2" w:rsidP="002F2BF0">
            <w:pPr>
              <w:spacing w:after="200" w:line="276" w:lineRule="auto"/>
            </w:pPr>
            <w:r w:rsidRPr="002E44D2">
              <w:t>Is HIV mortality,</w:t>
            </w:r>
            <w:r w:rsidRPr="002E44D2">
              <w:rPr>
                <w:vertAlign w:val="superscript"/>
              </w:rPr>
              <w:t xml:space="preserve"> </w:t>
            </w:r>
            <w:r w:rsidRPr="002E44D2">
              <w:t>incidence, or prevalence improving in countries with the largest Global Fund</w:t>
            </w:r>
            <w:r w:rsidR="00441DC6">
              <w:t xml:space="preserve"> (GF)</w:t>
            </w:r>
            <w:r w:rsidRPr="002E44D2">
              <w:t xml:space="preserve"> programs</w:t>
            </w:r>
            <w:r w:rsidR="002F2BF0">
              <w:t>,</w:t>
            </w:r>
            <w:r w:rsidRPr="002E44D2">
              <w:t xml:space="preserve"> compared </w:t>
            </w:r>
            <w:r w:rsidR="002F2BF0">
              <w:t>to</w:t>
            </w:r>
            <w:r w:rsidRPr="002E44D2">
              <w:t xml:space="preserve"> control countries?</w:t>
            </w:r>
          </w:p>
        </w:tc>
        <w:tc>
          <w:tcPr>
            <w:tcW w:w="2483" w:type="dxa"/>
          </w:tcPr>
          <w:p w:rsidR="00D71CD7" w:rsidRDefault="00196E7C" w:rsidP="00C915CF">
            <w:r>
              <w:rPr>
                <w:rFonts w:cs="TimesNewRomanPSMT"/>
                <w:lang w:bidi="ar-SA"/>
              </w:rPr>
              <w:t>–</w:t>
            </w:r>
            <w:r w:rsidR="000E7C05">
              <w:t xml:space="preserve"> </w:t>
            </w:r>
            <w:r w:rsidR="00FF684A">
              <w:t>T</w:t>
            </w:r>
            <w:r w:rsidR="00441DC6" w:rsidRPr="00C915CF">
              <w:t xml:space="preserve">he annual change in the number of HIV-related deaths </w:t>
            </w:r>
            <w:r w:rsidR="00FF684A">
              <w:t>in high</w:t>
            </w:r>
            <w:r w:rsidR="002F2BF0">
              <w:t>-</w:t>
            </w:r>
            <w:r w:rsidR="00FF684A">
              <w:t xml:space="preserve">investment countries </w:t>
            </w:r>
            <w:r w:rsidR="00441DC6" w:rsidRPr="00C915CF">
              <w:t>was 10.5% lower than the control countries</w:t>
            </w:r>
            <w:r w:rsidR="00C915CF" w:rsidRPr="00C915CF">
              <w:t>.</w:t>
            </w:r>
            <w:r w:rsidR="00C915CF">
              <w:t xml:space="preserve"> The difference in trends before GF programming is not significant.</w:t>
            </w:r>
          </w:p>
          <w:p w:rsidR="00C915CF" w:rsidRDefault="00196E7C" w:rsidP="00C915CF">
            <w:r>
              <w:rPr>
                <w:rFonts w:cs="TimesNewRomanPSMT"/>
                <w:lang w:bidi="ar-SA"/>
              </w:rPr>
              <w:t>–</w:t>
            </w:r>
            <w:r w:rsidR="000E7C05">
              <w:t xml:space="preserve"> </w:t>
            </w:r>
            <w:r w:rsidR="00C915CF">
              <w:t xml:space="preserve">The change in </w:t>
            </w:r>
            <w:r w:rsidR="007A28F7">
              <w:t xml:space="preserve">adult </w:t>
            </w:r>
            <w:r w:rsidR="00C915CF">
              <w:t>HIV prevalence did not significantly differ throughout the study period.</w:t>
            </w:r>
          </w:p>
          <w:p w:rsidR="007A28F7" w:rsidRPr="00C915CF" w:rsidRDefault="00064C87" w:rsidP="00064C87">
            <w:r>
              <w:t xml:space="preserve">– </w:t>
            </w:r>
            <w:r w:rsidR="00D71CD7">
              <w:t>The change in infant HIV incidence decreased by 5% in high</w:t>
            </w:r>
            <w:r>
              <w:t>-</w:t>
            </w:r>
            <w:r w:rsidR="00D71CD7">
              <w:t>investment countries</w:t>
            </w:r>
            <w:r w:rsidR="00547855">
              <w:t>.</w:t>
            </w:r>
          </w:p>
        </w:tc>
        <w:tc>
          <w:tcPr>
            <w:tcW w:w="2244" w:type="dxa"/>
          </w:tcPr>
          <w:p w:rsidR="005F1107" w:rsidRPr="005F1107" w:rsidRDefault="005F1107"/>
        </w:tc>
        <w:tc>
          <w:tcPr>
            <w:tcW w:w="959" w:type="dxa"/>
          </w:tcPr>
          <w:p w:rsidR="005F1107" w:rsidRPr="005F1107" w:rsidRDefault="005F1107"/>
        </w:tc>
        <w:tc>
          <w:tcPr>
            <w:tcW w:w="1772" w:type="dxa"/>
          </w:tcPr>
          <w:p w:rsidR="005F1107" w:rsidRPr="005F1107" w:rsidRDefault="005F1107"/>
        </w:tc>
        <w:tc>
          <w:tcPr>
            <w:tcW w:w="2335" w:type="dxa"/>
          </w:tcPr>
          <w:p w:rsidR="005F1107" w:rsidRDefault="008F4C24">
            <w:r>
              <w:t>1.</w:t>
            </w:r>
          </w:p>
          <w:p w:rsidR="008F4C24" w:rsidRPr="005F1107" w:rsidRDefault="008F4C24">
            <w:r>
              <w:t>2.</w:t>
            </w:r>
          </w:p>
        </w:tc>
        <w:tc>
          <w:tcPr>
            <w:tcW w:w="1964" w:type="dxa"/>
          </w:tcPr>
          <w:p w:rsidR="005F1107" w:rsidRDefault="008F4C24">
            <w:r>
              <w:t>LDM</w:t>
            </w:r>
          </w:p>
          <w:p w:rsidR="008F4C24" w:rsidRDefault="008F4C24">
            <w:r>
              <w:t>1.</w:t>
            </w:r>
          </w:p>
          <w:p w:rsidR="008F4C24" w:rsidRPr="005F1107" w:rsidRDefault="008F4C24">
            <w:r>
              <w:t>2.</w:t>
            </w:r>
          </w:p>
        </w:tc>
      </w:tr>
      <w:tr w:rsidR="00C915CF" w:rsidTr="00F008B7">
        <w:tc>
          <w:tcPr>
            <w:tcW w:w="468" w:type="dxa"/>
          </w:tcPr>
          <w:p w:rsidR="005F1107" w:rsidRDefault="00C915CF">
            <w:pPr>
              <w:rPr>
                <w:b/>
              </w:rPr>
            </w:pPr>
            <w:r>
              <w:rPr>
                <w:b/>
              </w:rPr>
              <w:t>2</w:t>
            </w:r>
            <w:r w:rsidR="00366E9E">
              <w:rPr>
                <w:b/>
              </w:rPr>
              <w:t>a</w:t>
            </w:r>
          </w:p>
        </w:tc>
        <w:tc>
          <w:tcPr>
            <w:tcW w:w="2391" w:type="dxa"/>
          </w:tcPr>
          <w:p w:rsidR="005F1107" w:rsidRPr="005F1107" w:rsidRDefault="00413A32">
            <w:r>
              <w:t xml:space="preserve">Which programs (or </w:t>
            </w:r>
            <w:r w:rsidR="00C915CF" w:rsidRPr="00172D2F">
              <w:t>combination of programs</w:t>
            </w:r>
            <w:r>
              <w:t>)</w:t>
            </w:r>
            <w:r w:rsidR="00C915CF" w:rsidRPr="00172D2F">
              <w:t xml:space="preserve"> were responsible for better outcomes</w:t>
            </w:r>
            <w:r w:rsidR="00C915CF">
              <w:t>?</w:t>
            </w:r>
          </w:p>
        </w:tc>
        <w:tc>
          <w:tcPr>
            <w:tcW w:w="2483" w:type="dxa"/>
          </w:tcPr>
          <w:p w:rsidR="005F1107" w:rsidRPr="00C915CF" w:rsidRDefault="00FF684A" w:rsidP="00064C87">
            <w:r>
              <w:t>All high</w:t>
            </w:r>
            <w:r w:rsidR="00064C87">
              <w:t>-</w:t>
            </w:r>
            <w:r>
              <w:t>investment countries</w:t>
            </w:r>
            <w:r w:rsidR="007A28F7">
              <w:t xml:space="preserve"> actively promoted the integration of family planning services in PMTCT services.</w:t>
            </w:r>
          </w:p>
        </w:tc>
        <w:tc>
          <w:tcPr>
            <w:tcW w:w="2244" w:type="dxa"/>
          </w:tcPr>
          <w:p w:rsidR="005F1107" w:rsidRPr="005F1107" w:rsidRDefault="005F1107"/>
        </w:tc>
        <w:tc>
          <w:tcPr>
            <w:tcW w:w="959" w:type="dxa"/>
          </w:tcPr>
          <w:p w:rsidR="005F1107" w:rsidRPr="005F1107" w:rsidRDefault="005F1107"/>
        </w:tc>
        <w:tc>
          <w:tcPr>
            <w:tcW w:w="1772" w:type="dxa"/>
          </w:tcPr>
          <w:p w:rsidR="005F1107" w:rsidRPr="005F1107" w:rsidRDefault="005F1107"/>
        </w:tc>
        <w:tc>
          <w:tcPr>
            <w:tcW w:w="2335" w:type="dxa"/>
          </w:tcPr>
          <w:p w:rsidR="005F1107" w:rsidRPr="005F1107" w:rsidRDefault="005F1107"/>
        </w:tc>
        <w:tc>
          <w:tcPr>
            <w:tcW w:w="1964" w:type="dxa"/>
          </w:tcPr>
          <w:p w:rsidR="005F1107" w:rsidRPr="005F1107" w:rsidRDefault="005F1107"/>
        </w:tc>
      </w:tr>
      <w:tr w:rsidR="00C915CF" w:rsidTr="00F008B7">
        <w:tc>
          <w:tcPr>
            <w:tcW w:w="468" w:type="dxa"/>
          </w:tcPr>
          <w:p w:rsidR="005F1107" w:rsidRDefault="00D71CD7">
            <w:pPr>
              <w:rPr>
                <w:b/>
              </w:rPr>
            </w:pPr>
            <w:r>
              <w:rPr>
                <w:b/>
              </w:rPr>
              <w:t>2</w:t>
            </w:r>
            <w:r w:rsidR="00366E9E">
              <w:rPr>
                <w:b/>
              </w:rPr>
              <w:t>b</w:t>
            </w:r>
          </w:p>
        </w:tc>
        <w:tc>
          <w:tcPr>
            <w:tcW w:w="2391" w:type="dxa"/>
          </w:tcPr>
          <w:p w:rsidR="005F1107" w:rsidRPr="005F1107" w:rsidRDefault="00FF684A" w:rsidP="007559FB">
            <w:r>
              <w:t>Were there similarities among countries that contributed to positive outcomes?</w:t>
            </w:r>
          </w:p>
        </w:tc>
        <w:tc>
          <w:tcPr>
            <w:tcW w:w="2483" w:type="dxa"/>
          </w:tcPr>
          <w:p w:rsidR="005F1107" w:rsidRPr="00FF684A" w:rsidRDefault="00FF684A" w:rsidP="00064C87">
            <w:r>
              <w:t>The high</w:t>
            </w:r>
            <w:r w:rsidR="00064C87">
              <w:t>-</w:t>
            </w:r>
            <w:r>
              <w:t xml:space="preserve">investment countries ranked higher than the control countries on all </w:t>
            </w:r>
            <w:r w:rsidR="002D12D6">
              <w:t xml:space="preserve">good </w:t>
            </w:r>
            <w:r>
              <w:t>governance indicators</w:t>
            </w:r>
            <w:r w:rsidR="00547855">
              <w:t>.</w:t>
            </w:r>
            <w:r>
              <w:t xml:space="preserve"> </w:t>
            </w:r>
          </w:p>
        </w:tc>
        <w:tc>
          <w:tcPr>
            <w:tcW w:w="2244" w:type="dxa"/>
          </w:tcPr>
          <w:p w:rsidR="005F1107" w:rsidRPr="005F1107" w:rsidRDefault="005F1107"/>
        </w:tc>
        <w:tc>
          <w:tcPr>
            <w:tcW w:w="959" w:type="dxa"/>
          </w:tcPr>
          <w:p w:rsidR="005F1107" w:rsidRPr="005F1107" w:rsidRDefault="005F1107"/>
        </w:tc>
        <w:tc>
          <w:tcPr>
            <w:tcW w:w="1772" w:type="dxa"/>
          </w:tcPr>
          <w:p w:rsidR="005F1107" w:rsidRPr="005F1107" w:rsidRDefault="005F1107"/>
        </w:tc>
        <w:tc>
          <w:tcPr>
            <w:tcW w:w="2335" w:type="dxa"/>
          </w:tcPr>
          <w:p w:rsidR="005F1107" w:rsidRPr="005F1107" w:rsidRDefault="005F1107"/>
        </w:tc>
        <w:tc>
          <w:tcPr>
            <w:tcW w:w="1964" w:type="dxa"/>
          </w:tcPr>
          <w:p w:rsidR="005F1107" w:rsidRPr="005F1107" w:rsidRDefault="005F1107"/>
        </w:tc>
      </w:tr>
    </w:tbl>
    <w:p w:rsidR="005F24C0" w:rsidRDefault="005F24C0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7"/>
        <w:gridCol w:w="2501"/>
        <w:gridCol w:w="2900"/>
        <w:gridCol w:w="2103"/>
        <w:gridCol w:w="989"/>
        <w:gridCol w:w="1784"/>
        <w:gridCol w:w="1907"/>
        <w:gridCol w:w="1965"/>
      </w:tblGrid>
      <w:tr w:rsidR="005F24C0" w:rsidTr="00F008B7">
        <w:tc>
          <w:tcPr>
            <w:tcW w:w="467" w:type="dxa"/>
          </w:tcPr>
          <w:p w:rsidR="005F24C0" w:rsidRDefault="005F24C0" w:rsidP="00413A32">
            <w:pPr>
              <w:rPr>
                <w:b/>
              </w:rPr>
            </w:pPr>
            <w:r>
              <w:rPr>
                <w:b/>
              </w:rPr>
              <w:lastRenderedPageBreak/>
              <w:t>#</w:t>
            </w:r>
          </w:p>
        </w:tc>
        <w:tc>
          <w:tcPr>
            <w:tcW w:w="2501" w:type="dxa"/>
          </w:tcPr>
          <w:p w:rsidR="005F24C0" w:rsidRDefault="005F24C0" w:rsidP="00413A32">
            <w:pPr>
              <w:rPr>
                <w:b/>
              </w:rPr>
            </w:pPr>
            <w:r>
              <w:rPr>
                <w:b/>
              </w:rPr>
              <w:t>Questions</w:t>
            </w:r>
          </w:p>
        </w:tc>
        <w:tc>
          <w:tcPr>
            <w:tcW w:w="2900" w:type="dxa"/>
          </w:tcPr>
          <w:p w:rsidR="005F24C0" w:rsidRDefault="005F24C0" w:rsidP="00413A32">
            <w:pPr>
              <w:rPr>
                <w:b/>
              </w:rPr>
            </w:pPr>
            <w:r>
              <w:rPr>
                <w:b/>
              </w:rPr>
              <w:t>Findings</w:t>
            </w:r>
          </w:p>
        </w:tc>
        <w:tc>
          <w:tcPr>
            <w:tcW w:w="2103" w:type="dxa"/>
          </w:tcPr>
          <w:p w:rsidR="005F24C0" w:rsidRDefault="005F24C0" w:rsidP="00413A32">
            <w:pPr>
              <w:rPr>
                <w:b/>
              </w:rPr>
            </w:pPr>
            <w:r>
              <w:rPr>
                <w:b/>
              </w:rPr>
              <w:t>Recommendations</w:t>
            </w:r>
          </w:p>
        </w:tc>
        <w:tc>
          <w:tcPr>
            <w:tcW w:w="989" w:type="dxa"/>
          </w:tcPr>
          <w:p w:rsidR="005F24C0" w:rsidRDefault="005F24C0" w:rsidP="00413A32">
            <w:pPr>
              <w:rPr>
                <w:b/>
              </w:rPr>
            </w:pPr>
            <w:r>
              <w:rPr>
                <w:b/>
              </w:rPr>
              <w:t>Priority</w:t>
            </w:r>
          </w:p>
        </w:tc>
        <w:tc>
          <w:tcPr>
            <w:tcW w:w="1784" w:type="dxa"/>
          </w:tcPr>
          <w:p w:rsidR="005F24C0" w:rsidRDefault="005F24C0" w:rsidP="00413A32">
            <w:pPr>
              <w:rPr>
                <w:b/>
              </w:rPr>
            </w:pPr>
            <w:r>
              <w:rPr>
                <w:b/>
              </w:rPr>
              <w:t>Lead Decision Maker</w:t>
            </w:r>
            <w:r w:rsidR="00547855">
              <w:rPr>
                <w:b/>
              </w:rPr>
              <w:t xml:space="preserve"> (LDM)</w:t>
            </w:r>
          </w:p>
        </w:tc>
        <w:tc>
          <w:tcPr>
            <w:tcW w:w="1907" w:type="dxa"/>
          </w:tcPr>
          <w:p w:rsidR="005F24C0" w:rsidRDefault="005F24C0" w:rsidP="00413A32">
            <w:pPr>
              <w:rPr>
                <w:b/>
              </w:rPr>
            </w:pPr>
            <w:r>
              <w:rPr>
                <w:b/>
              </w:rPr>
              <w:t>Stakeholders Impacted</w:t>
            </w:r>
          </w:p>
        </w:tc>
        <w:tc>
          <w:tcPr>
            <w:tcW w:w="1965" w:type="dxa"/>
          </w:tcPr>
          <w:p w:rsidR="005F24C0" w:rsidRDefault="005F24C0" w:rsidP="00413A32">
            <w:pPr>
              <w:rPr>
                <w:b/>
              </w:rPr>
            </w:pPr>
            <w:r>
              <w:rPr>
                <w:b/>
              </w:rPr>
              <w:t>Communication Channel</w:t>
            </w:r>
          </w:p>
        </w:tc>
      </w:tr>
      <w:tr w:rsidR="00D71CD7" w:rsidTr="00F008B7">
        <w:tc>
          <w:tcPr>
            <w:tcW w:w="467" w:type="dxa"/>
          </w:tcPr>
          <w:p w:rsidR="00D71CD7" w:rsidRDefault="00D71CD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01" w:type="dxa"/>
          </w:tcPr>
          <w:p w:rsidR="00D71CD7" w:rsidRPr="00D71CD7" w:rsidRDefault="00D71CD7" w:rsidP="00743A30">
            <w:pPr>
              <w:spacing w:after="200"/>
            </w:pPr>
            <w:r w:rsidRPr="00D71CD7">
              <w:t xml:space="preserve">Is </w:t>
            </w:r>
            <w:r w:rsidR="00547855">
              <w:t xml:space="preserve">the </w:t>
            </w:r>
            <w:r w:rsidRPr="00D71CD7">
              <w:t xml:space="preserve">completion </w:t>
            </w:r>
            <w:r w:rsidR="00547855">
              <w:t>rate for</w:t>
            </w:r>
            <w:r w:rsidR="00547855" w:rsidRPr="00D71CD7">
              <w:t xml:space="preserve"> </w:t>
            </w:r>
            <w:r w:rsidRPr="00D71CD7">
              <w:t xml:space="preserve">the recommended 4 ante-natal visits better in clinics </w:t>
            </w:r>
            <w:r w:rsidR="00FE2070">
              <w:t>in which</w:t>
            </w:r>
            <w:r w:rsidR="00FE2070" w:rsidRPr="00D71CD7">
              <w:t xml:space="preserve"> </w:t>
            </w:r>
            <w:r w:rsidRPr="00D71CD7">
              <w:t>there is a higher staff</w:t>
            </w:r>
            <w:r w:rsidR="00FE2070">
              <w:t>-</w:t>
            </w:r>
            <w:r w:rsidRPr="00D71CD7">
              <w:t>to</w:t>
            </w:r>
            <w:r w:rsidR="00FE2070">
              <w:t>-</w:t>
            </w:r>
            <w:r w:rsidRPr="00D71CD7">
              <w:t>client ratio?</w:t>
            </w:r>
          </w:p>
          <w:p w:rsidR="00D71CD7" w:rsidRDefault="00D71CD7"/>
        </w:tc>
        <w:tc>
          <w:tcPr>
            <w:tcW w:w="2900" w:type="dxa"/>
          </w:tcPr>
          <w:p w:rsidR="00133497" w:rsidRDefault="00196E7C" w:rsidP="00133497">
            <w:r>
              <w:rPr>
                <w:rFonts w:cs="TimesNewRomanPSMT"/>
                <w:lang w:bidi="ar-SA"/>
              </w:rPr>
              <w:t>–</w:t>
            </w:r>
            <w:r w:rsidR="00133497">
              <w:t xml:space="preserve"> </w:t>
            </w:r>
            <w:r w:rsidR="00C86A12" w:rsidRPr="00133497">
              <w:t>In clinics with 1</w:t>
            </w:r>
            <w:r w:rsidR="00FE2070">
              <w:t>–</w:t>
            </w:r>
            <w:r w:rsidR="00C86A12" w:rsidRPr="00133497">
              <w:t>2 providers</w:t>
            </w:r>
            <w:r w:rsidR="007559FB">
              <w:t>,</w:t>
            </w:r>
            <w:r w:rsidR="00C86A12" w:rsidRPr="00133497">
              <w:t xml:space="preserve"> completion</w:t>
            </w:r>
            <w:r w:rsidR="00547855">
              <w:t xml:space="preserve"> rate for</w:t>
            </w:r>
            <w:r w:rsidR="00C86A12" w:rsidRPr="00133497">
              <w:t xml:space="preserve"> 4 visits was 33%.  </w:t>
            </w:r>
          </w:p>
          <w:p w:rsidR="00133497" w:rsidRDefault="00196E7C" w:rsidP="00133497">
            <w:r>
              <w:rPr>
                <w:rFonts w:cs="TimesNewRomanPSMT"/>
                <w:lang w:bidi="ar-SA"/>
              </w:rPr>
              <w:t>–</w:t>
            </w:r>
            <w:r w:rsidR="00133497">
              <w:t xml:space="preserve"> </w:t>
            </w:r>
            <w:r w:rsidR="00C86A12" w:rsidRPr="00133497">
              <w:t>In clinics with 2</w:t>
            </w:r>
            <w:r w:rsidR="00FE2070">
              <w:t>–</w:t>
            </w:r>
            <w:r w:rsidR="00C86A12" w:rsidRPr="00133497">
              <w:t>4 providers</w:t>
            </w:r>
            <w:r w:rsidR="007559FB">
              <w:t>,</w:t>
            </w:r>
            <w:r w:rsidR="00C86A12" w:rsidRPr="00133497">
              <w:t xml:space="preserve"> completion rate was</w:t>
            </w:r>
            <w:r w:rsidR="007E3A9A" w:rsidRPr="00133497">
              <w:t xml:space="preserve"> </w:t>
            </w:r>
            <w:r w:rsidR="009041DA">
              <w:t>73</w:t>
            </w:r>
            <w:r w:rsidR="007E3A9A" w:rsidRPr="00133497">
              <w:t xml:space="preserve">%.  </w:t>
            </w:r>
          </w:p>
          <w:p w:rsidR="00D71CD7" w:rsidRPr="00133497" w:rsidRDefault="00196E7C" w:rsidP="00547855">
            <w:r>
              <w:rPr>
                <w:rFonts w:cs="TimesNewRomanPSMT"/>
                <w:lang w:bidi="ar-SA"/>
              </w:rPr>
              <w:t>–</w:t>
            </w:r>
            <w:r w:rsidR="00133497">
              <w:t xml:space="preserve"> </w:t>
            </w:r>
            <w:r w:rsidR="007E3A9A" w:rsidRPr="00133497">
              <w:t>I</w:t>
            </w:r>
            <w:r w:rsidR="00C86A12" w:rsidRPr="00133497">
              <w:t xml:space="preserve">n clinics with </w:t>
            </w:r>
            <w:r w:rsidR="00547855">
              <w:t>more than</w:t>
            </w:r>
            <w:r w:rsidR="00547855" w:rsidRPr="00133497">
              <w:t xml:space="preserve"> </w:t>
            </w:r>
            <w:r w:rsidR="00C86A12" w:rsidRPr="00133497">
              <w:t>5 providers</w:t>
            </w:r>
            <w:r w:rsidR="007559FB">
              <w:t>,</w:t>
            </w:r>
            <w:r w:rsidR="00C86A12" w:rsidRPr="00133497">
              <w:t xml:space="preserve"> completion rate was </w:t>
            </w:r>
            <w:r w:rsidR="009041DA">
              <w:t>77</w:t>
            </w:r>
            <w:r w:rsidR="00C86A12" w:rsidRPr="00133497">
              <w:t>%</w:t>
            </w:r>
            <w:r w:rsidR="007E3A9A" w:rsidRPr="00133497">
              <w:t>.</w:t>
            </w:r>
          </w:p>
        </w:tc>
        <w:tc>
          <w:tcPr>
            <w:tcW w:w="2103" w:type="dxa"/>
          </w:tcPr>
          <w:p w:rsidR="00D71CD7" w:rsidRPr="005F1107" w:rsidRDefault="00D71CD7"/>
        </w:tc>
        <w:tc>
          <w:tcPr>
            <w:tcW w:w="989" w:type="dxa"/>
          </w:tcPr>
          <w:p w:rsidR="00D71CD7" w:rsidRPr="005F1107" w:rsidRDefault="00D71CD7"/>
        </w:tc>
        <w:tc>
          <w:tcPr>
            <w:tcW w:w="1784" w:type="dxa"/>
          </w:tcPr>
          <w:p w:rsidR="00D71CD7" w:rsidRPr="005F1107" w:rsidRDefault="00D71CD7"/>
        </w:tc>
        <w:tc>
          <w:tcPr>
            <w:tcW w:w="1907" w:type="dxa"/>
          </w:tcPr>
          <w:p w:rsidR="00D71CD7" w:rsidRDefault="008F4C24">
            <w:r>
              <w:t>1.</w:t>
            </w:r>
          </w:p>
          <w:p w:rsidR="008F4C24" w:rsidRPr="005F1107" w:rsidRDefault="008F4C24">
            <w:r>
              <w:t>2.</w:t>
            </w:r>
          </w:p>
        </w:tc>
        <w:tc>
          <w:tcPr>
            <w:tcW w:w="1965" w:type="dxa"/>
          </w:tcPr>
          <w:p w:rsidR="00D71CD7" w:rsidRDefault="008F4C24">
            <w:r>
              <w:t>LDM</w:t>
            </w:r>
          </w:p>
          <w:p w:rsidR="008F4C24" w:rsidRDefault="008F4C24">
            <w:r>
              <w:t>1.</w:t>
            </w:r>
          </w:p>
          <w:p w:rsidR="008F4C24" w:rsidRPr="005F1107" w:rsidRDefault="008F4C24">
            <w:r>
              <w:t>2.</w:t>
            </w:r>
          </w:p>
        </w:tc>
      </w:tr>
      <w:tr w:rsidR="00D71CD7" w:rsidTr="00F008B7">
        <w:tc>
          <w:tcPr>
            <w:tcW w:w="467" w:type="dxa"/>
          </w:tcPr>
          <w:p w:rsidR="00D71CD7" w:rsidRDefault="00C86A12">
            <w:pPr>
              <w:rPr>
                <w:b/>
              </w:rPr>
            </w:pPr>
            <w:r>
              <w:rPr>
                <w:b/>
              </w:rPr>
              <w:t>3</w:t>
            </w:r>
            <w:r w:rsidR="00413A32">
              <w:rPr>
                <w:b/>
              </w:rPr>
              <w:t>a</w:t>
            </w:r>
          </w:p>
        </w:tc>
        <w:tc>
          <w:tcPr>
            <w:tcW w:w="2501" w:type="dxa"/>
          </w:tcPr>
          <w:p w:rsidR="00D71CD7" w:rsidRDefault="00133497" w:rsidP="00463893">
            <w:r>
              <w:t>In clinics with a higher staff</w:t>
            </w:r>
            <w:r w:rsidR="00547855">
              <w:t>-</w:t>
            </w:r>
            <w:r>
              <w:t>to</w:t>
            </w:r>
            <w:r w:rsidR="00547855">
              <w:t>-</w:t>
            </w:r>
            <w:r>
              <w:t>client ratio, do providers spend more time in one-on-one interaction</w:t>
            </w:r>
            <w:r w:rsidR="000A459D">
              <w:t>s</w:t>
            </w:r>
            <w:r w:rsidR="00C86A12">
              <w:t xml:space="preserve">? </w:t>
            </w:r>
          </w:p>
        </w:tc>
        <w:tc>
          <w:tcPr>
            <w:tcW w:w="2900" w:type="dxa"/>
          </w:tcPr>
          <w:p w:rsidR="00D71CD7" w:rsidRDefault="00C86A12" w:rsidP="00701DAB">
            <w:r>
              <w:t>In clinics with more than 2 staff, counseling visits averaged 1</w:t>
            </w:r>
            <w:r w:rsidR="009041DA">
              <w:t>3</w:t>
            </w:r>
            <w:r>
              <w:t xml:space="preserve"> mins</w:t>
            </w:r>
            <w:r w:rsidR="00F008B7">
              <w:t>. In</w:t>
            </w:r>
            <w:r>
              <w:t xml:space="preserve"> clinics with less than 2 staff, visits averaged 8 </w:t>
            </w:r>
            <w:r w:rsidR="00701DAB">
              <w:t>mins.</w:t>
            </w:r>
          </w:p>
        </w:tc>
        <w:tc>
          <w:tcPr>
            <w:tcW w:w="2103" w:type="dxa"/>
          </w:tcPr>
          <w:p w:rsidR="00D71CD7" w:rsidRPr="005F1107" w:rsidRDefault="00D71CD7"/>
        </w:tc>
        <w:tc>
          <w:tcPr>
            <w:tcW w:w="989" w:type="dxa"/>
          </w:tcPr>
          <w:p w:rsidR="00D71CD7" w:rsidRPr="005F1107" w:rsidRDefault="00D71CD7"/>
        </w:tc>
        <w:tc>
          <w:tcPr>
            <w:tcW w:w="1784" w:type="dxa"/>
          </w:tcPr>
          <w:p w:rsidR="00D71CD7" w:rsidRPr="005F1107" w:rsidRDefault="00D71CD7"/>
        </w:tc>
        <w:tc>
          <w:tcPr>
            <w:tcW w:w="1907" w:type="dxa"/>
          </w:tcPr>
          <w:p w:rsidR="00D71CD7" w:rsidRPr="005F1107" w:rsidRDefault="00D71CD7"/>
        </w:tc>
        <w:tc>
          <w:tcPr>
            <w:tcW w:w="1965" w:type="dxa"/>
          </w:tcPr>
          <w:p w:rsidR="00D71CD7" w:rsidRPr="005F1107" w:rsidRDefault="00D71CD7"/>
        </w:tc>
      </w:tr>
      <w:tr w:rsidR="00396DBD" w:rsidTr="00F008B7">
        <w:tc>
          <w:tcPr>
            <w:tcW w:w="467" w:type="dxa"/>
          </w:tcPr>
          <w:p w:rsidR="00396DBD" w:rsidRDefault="00396DBD">
            <w:pPr>
              <w:rPr>
                <w:b/>
              </w:rPr>
            </w:pPr>
            <w:r>
              <w:rPr>
                <w:b/>
              </w:rPr>
              <w:t>3b</w:t>
            </w:r>
          </w:p>
        </w:tc>
        <w:tc>
          <w:tcPr>
            <w:tcW w:w="2501" w:type="dxa"/>
          </w:tcPr>
          <w:p w:rsidR="00396DBD" w:rsidRDefault="00396DBD" w:rsidP="000A459D">
            <w:r>
              <w:t xml:space="preserve">Is there a relationship between clinics </w:t>
            </w:r>
            <w:r w:rsidR="00547855">
              <w:t xml:space="preserve">implementing the recommendation of </w:t>
            </w:r>
            <w:r>
              <w:t xml:space="preserve">4 prenatal visits </w:t>
            </w:r>
            <w:r w:rsidR="000A459D">
              <w:t xml:space="preserve">and </w:t>
            </w:r>
            <w:r>
              <w:t>the implementation of outreach activities (i.e.</w:t>
            </w:r>
            <w:r w:rsidR="000A459D">
              <w:t>,</w:t>
            </w:r>
            <w:r>
              <w:t xml:space="preserve"> community education on the benefits of prenatal </w:t>
            </w:r>
            <w:r w:rsidR="00F008B7">
              <w:t xml:space="preserve">care </w:t>
            </w:r>
            <w:r w:rsidR="00A276C6">
              <w:t xml:space="preserve">not done because of the need for </w:t>
            </w:r>
            <w:r>
              <w:t>follow-up activities to locate clients hav</w:t>
            </w:r>
            <w:r w:rsidR="00A276C6">
              <w:t>ing</w:t>
            </w:r>
            <w:r>
              <w:t xml:space="preserve"> </w:t>
            </w:r>
            <w:r w:rsidR="00A276C6">
              <w:t xml:space="preserve">fewer </w:t>
            </w:r>
            <w:r w:rsidR="00701DAB">
              <w:t xml:space="preserve">than </w:t>
            </w:r>
            <w:r>
              <w:t>4 visits)?</w:t>
            </w:r>
          </w:p>
        </w:tc>
        <w:tc>
          <w:tcPr>
            <w:tcW w:w="2900" w:type="dxa"/>
          </w:tcPr>
          <w:p w:rsidR="00396DBD" w:rsidRDefault="00196E7C" w:rsidP="00F27035">
            <w:r>
              <w:rPr>
                <w:rFonts w:cs="TimesNewRomanPSMT"/>
                <w:lang w:bidi="ar-SA"/>
              </w:rPr>
              <w:t>–</w:t>
            </w:r>
            <w:r w:rsidR="00396DBD">
              <w:t xml:space="preserve"> Women who attended clinics with 1</w:t>
            </w:r>
            <w:r w:rsidR="000A459D">
              <w:t>–</w:t>
            </w:r>
            <w:r w:rsidR="00396DBD">
              <w:t>2 staff did not report exposure to outreach activities.</w:t>
            </w:r>
          </w:p>
          <w:p w:rsidR="00396DBD" w:rsidRPr="005F1107" w:rsidRDefault="00196E7C" w:rsidP="000A459D">
            <w:r>
              <w:rPr>
                <w:rFonts w:cs="TimesNewRomanPSMT"/>
                <w:lang w:bidi="ar-SA"/>
              </w:rPr>
              <w:t>–</w:t>
            </w:r>
            <w:r w:rsidR="00396DBD">
              <w:t xml:space="preserve"> 50% of women who attended clinics with more than 2 staff reported exposure to outreach activities. Of those women</w:t>
            </w:r>
            <w:r w:rsidR="00A276C6">
              <w:t>,</w:t>
            </w:r>
            <w:r w:rsidR="00396DBD">
              <w:t xml:space="preserve"> 90% had completed all 4 prenatal visits.</w:t>
            </w:r>
          </w:p>
        </w:tc>
        <w:tc>
          <w:tcPr>
            <w:tcW w:w="2103" w:type="dxa"/>
          </w:tcPr>
          <w:p w:rsidR="00396DBD" w:rsidRPr="005F1107" w:rsidRDefault="00396DBD" w:rsidP="00396DBD"/>
        </w:tc>
        <w:tc>
          <w:tcPr>
            <w:tcW w:w="989" w:type="dxa"/>
          </w:tcPr>
          <w:p w:rsidR="00396DBD" w:rsidRPr="005F1107" w:rsidRDefault="00396DBD"/>
        </w:tc>
        <w:tc>
          <w:tcPr>
            <w:tcW w:w="1784" w:type="dxa"/>
          </w:tcPr>
          <w:p w:rsidR="00396DBD" w:rsidRPr="005F1107" w:rsidRDefault="00396DBD"/>
        </w:tc>
        <w:tc>
          <w:tcPr>
            <w:tcW w:w="1907" w:type="dxa"/>
          </w:tcPr>
          <w:p w:rsidR="00396DBD" w:rsidRPr="005F1107" w:rsidRDefault="00396DBD"/>
        </w:tc>
        <w:tc>
          <w:tcPr>
            <w:tcW w:w="1965" w:type="dxa"/>
          </w:tcPr>
          <w:p w:rsidR="00396DBD" w:rsidRPr="005F1107" w:rsidRDefault="00396DBD"/>
        </w:tc>
      </w:tr>
      <w:tr w:rsidR="00396DBD" w:rsidTr="00F008B7">
        <w:tc>
          <w:tcPr>
            <w:tcW w:w="467" w:type="dxa"/>
          </w:tcPr>
          <w:p w:rsidR="00396DBD" w:rsidRDefault="00396DBD">
            <w:pPr>
              <w:rPr>
                <w:b/>
              </w:rPr>
            </w:pPr>
            <w:r>
              <w:rPr>
                <w:b/>
              </w:rPr>
              <w:t>3c</w:t>
            </w:r>
          </w:p>
        </w:tc>
        <w:tc>
          <w:tcPr>
            <w:tcW w:w="2501" w:type="dxa"/>
          </w:tcPr>
          <w:p w:rsidR="00396DBD" w:rsidRDefault="00396DBD" w:rsidP="00A276C6">
            <w:r>
              <w:t xml:space="preserve">Is there a relationship between clinics with a high completion rate </w:t>
            </w:r>
            <w:r w:rsidR="00A276C6">
              <w:t xml:space="preserve">for </w:t>
            </w:r>
            <w:r>
              <w:t>all 4 prenatal visits and resident providers having received in-</w:t>
            </w:r>
            <w:r>
              <w:lastRenderedPageBreak/>
              <w:t xml:space="preserve">service training on counseling skills in the last two years? </w:t>
            </w:r>
          </w:p>
        </w:tc>
        <w:tc>
          <w:tcPr>
            <w:tcW w:w="2900" w:type="dxa"/>
          </w:tcPr>
          <w:p w:rsidR="00396DBD" w:rsidRDefault="00196E7C" w:rsidP="00D71CD7">
            <w:r>
              <w:rPr>
                <w:rFonts w:cs="TimesNewRomanPSMT"/>
                <w:lang w:bidi="ar-SA"/>
              </w:rPr>
              <w:lastRenderedPageBreak/>
              <w:t>–</w:t>
            </w:r>
            <w:r w:rsidR="00396DBD">
              <w:t xml:space="preserve"> In clinics with 1</w:t>
            </w:r>
            <w:r w:rsidR="000A459D">
              <w:t>–</w:t>
            </w:r>
            <w:r w:rsidR="00396DBD">
              <w:t>2 providers</w:t>
            </w:r>
            <w:r w:rsidR="00A276C6">
              <w:t>,</w:t>
            </w:r>
            <w:r w:rsidR="00396DBD">
              <w:t xml:space="preserve"> 10% received training.</w:t>
            </w:r>
          </w:p>
          <w:p w:rsidR="00396DBD" w:rsidRDefault="00196E7C" w:rsidP="00D71CD7">
            <w:r>
              <w:rPr>
                <w:rFonts w:cs="TimesNewRomanPSMT"/>
                <w:lang w:bidi="ar-SA"/>
              </w:rPr>
              <w:t>–</w:t>
            </w:r>
            <w:r w:rsidR="00396DBD">
              <w:t xml:space="preserve"> In clinics with 2</w:t>
            </w:r>
            <w:r w:rsidR="000A459D">
              <w:t>–</w:t>
            </w:r>
            <w:r w:rsidR="00396DBD">
              <w:t>4 providers</w:t>
            </w:r>
            <w:r w:rsidR="00A276C6">
              <w:t>,</w:t>
            </w:r>
            <w:r w:rsidR="00396DBD">
              <w:t xml:space="preserve"> 12% received training</w:t>
            </w:r>
            <w:r w:rsidR="00A276C6">
              <w:t>.</w:t>
            </w:r>
          </w:p>
          <w:p w:rsidR="00396DBD" w:rsidRDefault="00196E7C" w:rsidP="00396DBD">
            <w:r>
              <w:rPr>
                <w:rFonts w:cs="TimesNewRomanPSMT"/>
                <w:lang w:bidi="ar-SA"/>
              </w:rPr>
              <w:lastRenderedPageBreak/>
              <w:t>–</w:t>
            </w:r>
            <w:r w:rsidR="00701DAB">
              <w:t xml:space="preserve"> </w:t>
            </w:r>
            <w:r w:rsidR="00396DBD">
              <w:t>In clinics with more than 5 staff</w:t>
            </w:r>
            <w:r w:rsidR="00A276C6">
              <w:t>,</w:t>
            </w:r>
            <w:r w:rsidR="00396DBD">
              <w:t xml:space="preserve"> 8% received training.</w:t>
            </w:r>
          </w:p>
        </w:tc>
        <w:tc>
          <w:tcPr>
            <w:tcW w:w="2103" w:type="dxa"/>
          </w:tcPr>
          <w:p w:rsidR="00396DBD" w:rsidRPr="005F1107" w:rsidRDefault="00396DBD"/>
        </w:tc>
        <w:tc>
          <w:tcPr>
            <w:tcW w:w="989" w:type="dxa"/>
          </w:tcPr>
          <w:p w:rsidR="00396DBD" w:rsidRPr="005F1107" w:rsidRDefault="00396DBD"/>
        </w:tc>
        <w:tc>
          <w:tcPr>
            <w:tcW w:w="1784" w:type="dxa"/>
          </w:tcPr>
          <w:p w:rsidR="00396DBD" w:rsidRPr="005F1107" w:rsidRDefault="00396DBD"/>
        </w:tc>
        <w:tc>
          <w:tcPr>
            <w:tcW w:w="1907" w:type="dxa"/>
          </w:tcPr>
          <w:p w:rsidR="00396DBD" w:rsidRPr="005F1107" w:rsidRDefault="00396DBD"/>
        </w:tc>
        <w:tc>
          <w:tcPr>
            <w:tcW w:w="1965" w:type="dxa"/>
          </w:tcPr>
          <w:p w:rsidR="00396DBD" w:rsidRPr="005F1107" w:rsidRDefault="00396DBD"/>
        </w:tc>
      </w:tr>
    </w:tbl>
    <w:p w:rsidR="00743A30" w:rsidRDefault="00743A30">
      <w:r>
        <w:lastRenderedPageBreak/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7"/>
        <w:gridCol w:w="2480"/>
        <w:gridCol w:w="2641"/>
        <w:gridCol w:w="2328"/>
        <w:gridCol w:w="990"/>
        <w:gridCol w:w="1769"/>
        <w:gridCol w:w="1910"/>
        <w:gridCol w:w="2031"/>
      </w:tblGrid>
      <w:tr w:rsidR="005F24C0" w:rsidTr="00F008B7">
        <w:tc>
          <w:tcPr>
            <w:tcW w:w="467" w:type="dxa"/>
          </w:tcPr>
          <w:p w:rsidR="005F24C0" w:rsidRDefault="005F24C0" w:rsidP="00413A32">
            <w:pPr>
              <w:rPr>
                <w:b/>
              </w:rPr>
            </w:pPr>
            <w:r>
              <w:lastRenderedPageBreak/>
              <w:br w:type="page"/>
            </w:r>
            <w:r>
              <w:rPr>
                <w:b/>
              </w:rPr>
              <w:t>#</w:t>
            </w:r>
          </w:p>
        </w:tc>
        <w:tc>
          <w:tcPr>
            <w:tcW w:w="2480" w:type="dxa"/>
          </w:tcPr>
          <w:p w:rsidR="005F24C0" w:rsidRDefault="005F24C0" w:rsidP="00413A32">
            <w:pPr>
              <w:rPr>
                <w:b/>
              </w:rPr>
            </w:pPr>
            <w:r>
              <w:rPr>
                <w:b/>
              </w:rPr>
              <w:t>Questions</w:t>
            </w:r>
          </w:p>
        </w:tc>
        <w:tc>
          <w:tcPr>
            <w:tcW w:w="2641" w:type="dxa"/>
          </w:tcPr>
          <w:p w:rsidR="005F24C0" w:rsidRDefault="005F24C0" w:rsidP="00413A32">
            <w:pPr>
              <w:rPr>
                <w:b/>
              </w:rPr>
            </w:pPr>
            <w:r>
              <w:rPr>
                <w:b/>
              </w:rPr>
              <w:t>Findings</w:t>
            </w:r>
          </w:p>
        </w:tc>
        <w:tc>
          <w:tcPr>
            <w:tcW w:w="2328" w:type="dxa"/>
          </w:tcPr>
          <w:p w:rsidR="005F24C0" w:rsidRDefault="005F24C0" w:rsidP="00413A32">
            <w:pPr>
              <w:rPr>
                <w:b/>
              </w:rPr>
            </w:pPr>
            <w:r>
              <w:rPr>
                <w:b/>
              </w:rPr>
              <w:t>Recommendations</w:t>
            </w:r>
          </w:p>
        </w:tc>
        <w:tc>
          <w:tcPr>
            <w:tcW w:w="990" w:type="dxa"/>
          </w:tcPr>
          <w:p w:rsidR="005F24C0" w:rsidRDefault="005F24C0" w:rsidP="00413A32">
            <w:pPr>
              <w:rPr>
                <w:b/>
              </w:rPr>
            </w:pPr>
            <w:r>
              <w:rPr>
                <w:b/>
              </w:rPr>
              <w:t>Priority</w:t>
            </w:r>
          </w:p>
        </w:tc>
        <w:tc>
          <w:tcPr>
            <w:tcW w:w="1769" w:type="dxa"/>
          </w:tcPr>
          <w:p w:rsidR="005F24C0" w:rsidRDefault="005F24C0" w:rsidP="00413A32">
            <w:pPr>
              <w:rPr>
                <w:b/>
              </w:rPr>
            </w:pPr>
            <w:r>
              <w:rPr>
                <w:b/>
              </w:rPr>
              <w:t>Lead Decision Maker</w:t>
            </w:r>
            <w:r w:rsidR="00A276C6">
              <w:rPr>
                <w:b/>
              </w:rPr>
              <w:t xml:space="preserve"> (LDM)</w:t>
            </w:r>
          </w:p>
        </w:tc>
        <w:tc>
          <w:tcPr>
            <w:tcW w:w="1910" w:type="dxa"/>
          </w:tcPr>
          <w:p w:rsidR="005F24C0" w:rsidRDefault="005F24C0" w:rsidP="00413A32">
            <w:pPr>
              <w:rPr>
                <w:b/>
              </w:rPr>
            </w:pPr>
            <w:r>
              <w:rPr>
                <w:b/>
              </w:rPr>
              <w:t>Stakeholders Impacted</w:t>
            </w:r>
          </w:p>
        </w:tc>
        <w:tc>
          <w:tcPr>
            <w:tcW w:w="2031" w:type="dxa"/>
          </w:tcPr>
          <w:p w:rsidR="005F24C0" w:rsidRDefault="005F24C0" w:rsidP="00413A32">
            <w:pPr>
              <w:rPr>
                <w:b/>
              </w:rPr>
            </w:pPr>
            <w:r>
              <w:rPr>
                <w:b/>
              </w:rPr>
              <w:t>Communication Channel</w:t>
            </w:r>
          </w:p>
        </w:tc>
      </w:tr>
      <w:tr w:rsidR="00D71CD7" w:rsidTr="00F008B7">
        <w:tc>
          <w:tcPr>
            <w:tcW w:w="467" w:type="dxa"/>
          </w:tcPr>
          <w:p w:rsidR="00D71CD7" w:rsidRDefault="00E93F65">
            <w:pPr>
              <w:rPr>
                <w:b/>
              </w:rPr>
            </w:pPr>
            <w:r>
              <w:rPr>
                <w:b/>
              </w:rPr>
              <w:t xml:space="preserve">4 </w:t>
            </w:r>
          </w:p>
        </w:tc>
        <w:tc>
          <w:tcPr>
            <w:tcW w:w="2480" w:type="dxa"/>
          </w:tcPr>
          <w:p w:rsidR="00D71CD7" w:rsidRDefault="00FE47B8" w:rsidP="00FE47B8">
            <w:r w:rsidRPr="00FF4BF3">
              <w:t xml:space="preserve">Does marrying before age 15 result in higher levels of adolescent pregnancy and other </w:t>
            </w:r>
            <w:r w:rsidR="00410DB7" w:rsidRPr="00FF4BF3">
              <w:t>negative health outcomes</w:t>
            </w:r>
            <w:r w:rsidRPr="00FF4BF3">
              <w:t>?</w:t>
            </w:r>
          </w:p>
        </w:tc>
        <w:tc>
          <w:tcPr>
            <w:tcW w:w="2641" w:type="dxa"/>
          </w:tcPr>
          <w:p w:rsidR="00D71CD7" w:rsidRPr="00C36201" w:rsidRDefault="00196E7C" w:rsidP="000E7C05">
            <w:pPr>
              <w:autoSpaceDE w:val="0"/>
              <w:autoSpaceDN w:val="0"/>
              <w:adjustRightInd w:val="0"/>
              <w:rPr>
                <w:lang w:bidi="ar-SA"/>
              </w:rPr>
            </w:pPr>
            <w:r>
              <w:rPr>
                <w:rFonts w:cs="TimesNewRomanPSMT"/>
                <w:lang w:bidi="ar-SA"/>
              </w:rPr>
              <w:t>–</w:t>
            </w:r>
            <w:r w:rsidR="000E7C05">
              <w:rPr>
                <w:lang w:bidi="ar-SA"/>
              </w:rPr>
              <w:t xml:space="preserve"> </w:t>
            </w:r>
            <w:r w:rsidR="00FE47B8">
              <w:rPr>
                <w:lang w:bidi="ar-SA"/>
              </w:rPr>
              <w:t>L</w:t>
            </w:r>
            <w:r w:rsidR="00410DB7" w:rsidRPr="000E7C05">
              <w:rPr>
                <w:lang w:bidi="ar-SA"/>
              </w:rPr>
              <w:t>evels of childbearing were consistently higher</w:t>
            </w:r>
            <w:r w:rsidR="00C36201">
              <w:rPr>
                <w:lang w:bidi="ar-SA"/>
              </w:rPr>
              <w:t xml:space="preserve"> </w:t>
            </w:r>
            <w:r w:rsidR="00410DB7" w:rsidRPr="00410DB7">
              <w:rPr>
                <w:lang w:bidi="ar-SA"/>
              </w:rPr>
              <w:t>among girls who married before 15 than among those who married at older ages or never</w:t>
            </w:r>
            <w:r w:rsidR="000E7C05">
              <w:rPr>
                <w:lang w:bidi="ar-SA"/>
              </w:rPr>
              <w:t xml:space="preserve"> </w:t>
            </w:r>
            <w:r w:rsidR="00410DB7" w:rsidRPr="00410DB7">
              <w:rPr>
                <w:rFonts w:cs="TimesNewRomanPSMT"/>
                <w:lang w:bidi="ar-SA"/>
              </w:rPr>
              <w:t>married.</w:t>
            </w:r>
          </w:p>
          <w:p w:rsidR="000E7C05" w:rsidRPr="000E7C05" w:rsidRDefault="00196E7C" w:rsidP="000A459D">
            <w:pPr>
              <w:autoSpaceDE w:val="0"/>
              <w:autoSpaceDN w:val="0"/>
              <w:adjustRightInd w:val="0"/>
            </w:pPr>
            <w:r>
              <w:rPr>
                <w:rFonts w:cs="TimesNewRomanPSMT"/>
                <w:lang w:bidi="ar-SA"/>
              </w:rPr>
              <w:t>–</w:t>
            </w:r>
            <w:r w:rsidR="000E7C05">
              <w:t xml:space="preserve"> </w:t>
            </w:r>
            <w:r w:rsidR="000E7C05" w:rsidRPr="00410DB7">
              <w:rPr>
                <w:rFonts w:cs="TimesNewRomanPSMT"/>
                <w:lang w:bidi="ar-SA"/>
              </w:rPr>
              <w:t xml:space="preserve">Among girls who </w:t>
            </w:r>
            <w:r w:rsidR="007F165F">
              <w:rPr>
                <w:rFonts w:cs="TimesNewRomanPSMT"/>
                <w:lang w:bidi="ar-SA"/>
              </w:rPr>
              <w:t>married before age</w:t>
            </w:r>
            <w:r w:rsidR="000E7C05" w:rsidRPr="00410DB7">
              <w:rPr>
                <w:rFonts w:cs="TimesNewRomanPSMT"/>
                <w:lang w:bidi="ar-SA"/>
              </w:rPr>
              <w:t xml:space="preserve"> 15, 23% said </w:t>
            </w:r>
            <w:r w:rsidR="000E7C05" w:rsidRPr="00410DB7">
              <w:rPr>
                <w:lang w:bidi="ar-SA"/>
              </w:rPr>
              <w:t xml:space="preserve">they lost sleep over worry, 33% said they felt constantly under strain, </w:t>
            </w:r>
            <w:r w:rsidR="00A276C6">
              <w:rPr>
                <w:lang w:bidi="ar-SA"/>
              </w:rPr>
              <w:t xml:space="preserve">and </w:t>
            </w:r>
            <w:r w:rsidR="000E7C05" w:rsidRPr="00410DB7">
              <w:rPr>
                <w:lang w:bidi="ar-SA"/>
              </w:rPr>
              <w:t xml:space="preserve">21% </w:t>
            </w:r>
            <w:r w:rsidR="000E7C05" w:rsidRPr="00410DB7">
              <w:rPr>
                <w:rFonts w:cs="TimesNewRomanPSMT"/>
                <w:lang w:bidi="ar-SA"/>
              </w:rPr>
              <w:t xml:space="preserve">said they felt </w:t>
            </w:r>
            <w:r w:rsidR="000E7C05">
              <w:rPr>
                <w:rFonts w:cs="TimesNewRomanPSMT"/>
                <w:lang w:bidi="ar-SA"/>
              </w:rPr>
              <w:t xml:space="preserve">helpless.  </w:t>
            </w:r>
            <w:r w:rsidR="000E7C05" w:rsidRPr="00410DB7">
              <w:rPr>
                <w:lang w:bidi="ar-SA"/>
              </w:rPr>
              <w:t>Among girls who never married, 1</w:t>
            </w:r>
            <w:r w:rsidR="00FE47B8">
              <w:rPr>
                <w:lang w:bidi="ar-SA"/>
              </w:rPr>
              <w:t>1</w:t>
            </w:r>
            <w:r w:rsidR="000E7C05" w:rsidRPr="00410DB7">
              <w:rPr>
                <w:lang w:bidi="ar-SA"/>
              </w:rPr>
              <w:t>% said they lost sleep over worry, 15% said</w:t>
            </w:r>
            <w:r w:rsidR="00BF19BB">
              <w:rPr>
                <w:lang w:bidi="ar-SA"/>
              </w:rPr>
              <w:t xml:space="preserve"> </w:t>
            </w:r>
            <w:r w:rsidR="000E7C05" w:rsidRPr="00410DB7">
              <w:rPr>
                <w:rFonts w:cs="TimesNewRomanPSMT"/>
                <w:lang w:bidi="ar-SA"/>
              </w:rPr>
              <w:t>they felt constantly under strain,</w:t>
            </w:r>
            <w:r w:rsidR="00A276C6">
              <w:rPr>
                <w:rFonts w:cs="TimesNewRomanPSMT"/>
                <w:lang w:bidi="ar-SA"/>
              </w:rPr>
              <w:t xml:space="preserve"> and</w:t>
            </w:r>
            <w:r w:rsidR="000E7C05" w:rsidRPr="00410DB7">
              <w:rPr>
                <w:rFonts w:cs="TimesNewRomanPSMT"/>
                <w:lang w:bidi="ar-SA"/>
              </w:rPr>
              <w:t xml:space="preserve"> </w:t>
            </w:r>
            <w:r w:rsidR="000E7C05">
              <w:rPr>
                <w:rFonts w:cs="TimesNewRomanPSMT"/>
                <w:lang w:bidi="ar-SA"/>
              </w:rPr>
              <w:t>7</w:t>
            </w:r>
            <w:r w:rsidR="000E7C05" w:rsidRPr="00410DB7">
              <w:rPr>
                <w:rFonts w:cs="TimesNewRomanPSMT"/>
                <w:lang w:bidi="ar-SA"/>
              </w:rPr>
              <w:t xml:space="preserve">% said they felt </w:t>
            </w:r>
            <w:r w:rsidR="000E7C05">
              <w:rPr>
                <w:rFonts w:cs="TimesNewRomanPSMT"/>
                <w:lang w:bidi="ar-SA"/>
              </w:rPr>
              <w:t>helpless</w:t>
            </w:r>
            <w:r w:rsidR="00BF19BB">
              <w:rPr>
                <w:rFonts w:cs="TimesNewRomanPSMT"/>
                <w:lang w:bidi="ar-SA"/>
              </w:rPr>
              <w:t>.</w:t>
            </w:r>
          </w:p>
        </w:tc>
        <w:tc>
          <w:tcPr>
            <w:tcW w:w="2328" w:type="dxa"/>
          </w:tcPr>
          <w:p w:rsidR="00D71CD7" w:rsidRPr="005F1107" w:rsidRDefault="00D71CD7"/>
        </w:tc>
        <w:tc>
          <w:tcPr>
            <w:tcW w:w="990" w:type="dxa"/>
          </w:tcPr>
          <w:p w:rsidR="00D71CD7" w:rsidRPr="005F1107" w:rsidRDefault="00D71CD7"/>
        </w:tc>
        <w:tc>
          <w:tcPr>
            <w:tcW w:w="1769" w:type="dxa"/>
          </w:tcPr>
          <w:p w:rsidR="00D71CD7" w:rsidRPr="005F1107" w:rsidRDefault="00D71CD7"/>
        </w:tc>
        <w:tc>
          <w:tcPr>
            <w:tcW w:w="1910" w:type="dxa"/>
          </w:tcPr>
          <w:p w:rsidR="00D71CD7" w:rsidRDefault="008F4C24">
            <w:r>
              <w:t>1.</w:t>
            </w:r>
          </w:p>
          <w:p w:rsidR="008F4C24" w:rsidRPr="005F1107" w:rsidRDefault="008F4C24">
            <w:r>
              <w:t>2.</w:t>
            </w:r>
          </w:p>
        </w:tc>
        <w:tc>
          <w:tcPr>
            <w:tcW w:w="2031" w:type="dxa"/>
          </w:tcPr>
          <w:p w:rsidR="00D71CD7" w:rsidRDefault="008F4C24">
            <w:r>
              <w:t>LDM</w:t>
            </w:r>
          </w:p>
          <w:p w:rsidR="008F4C24" w:rsidRDefault="008F4C24">
            <w:r>
              <w:t>1.</w:t>
            </w:r>
          </w:p>
          <w:p w:rsidR="008F4C24" w:rsidRPr="005F1107" w:rsidRDefault="008F4C24">
            <w:r>
              <w:t>2.</w:t>
            </w:r>
          </w:p>
        </w:tc>
      </w:tr>
      <w:tr w:rsidR="00410DB7" w:rsidTr="00F008B7">
        <w:tc>
          <w:tcPr>
            <w:tcW w:w="467" w:type="dxa"/>
          </w:tcPr>
          <w:p w:rsidR="00410DB7" w:rsidRDefault="00410DB7">
            <w:pPr>
              <w:rPr>
                <w:b/>
              </w:rPr>
            </w:pPr>
            <w:r>
              <w:rPr>
                <w:b/>
              </w:rPr>
              <w:t>4</w:t>
            </w:r>
            <w:r w:rsidR="00413A32">
              <w:rPr>
                <w:b/>
              </w:rPr>
              <w:t>a</w:t>
            </w:r>
          </w:p>
        </w:tc>
        <w:tc>
          <w:tcPr>
            <w:tcW w:w="2480" w:type="dxa"/>
          </w:tcPr>
          <w:p w:rsidR="00410DB7" w:rsidRPr="00E93F65" w:rsidRDefault="00C36201" w:rsidP="007F165F">
            <w:r>
              <w:t>Does family socio</w:t>
            </w:r>
            <w:r w:rsidR="007F165F">
              <w:t>economic status affect the age of first marriage?</w:t>
            </w:r>
          </w:p>
        </w:tc>
        <w:tc>
          <w:tcPr>
            <w:tcW w:w="2641" w:type="dxa"/>
          </w:tcPr>
          <w:p w:rsidR="00410DB7" w:rsidRPr="00410DB7" w:rsidRDefault="007F165F" w:rsidP="000A459D">
            <w:pPr>
              <w:autoSpaceDE w:val="0"/>
              <w:autoSpaceDN w:val="0"/>
              <w:adjustRightInd w:val="0"/>
              <w:rPr>
                <w:lang w:bidi="ar-SA"/>
              </w:rPr>
            </w:pPr>
            <w:r>
              <w:rPr>
                <w:lang w:bidi="ar-SA"/>
              </w:rPr>
              <w:t xml:space="preserve">67% of girls </w:t>
            </w:r>
            <w:r w:rsidR="000A459D">
              <w:rPr>
                <w:lang w:bidi="ar-SA"/>
              </w:rPr>
              <w:t xml:space="preserve">who </w:t>
            </w:r>
            <w:r>
              <w:rPr>
                <w:lang w:bidi="ar-SA"/>
              </w:rPr>
              <w:t xml:space="preserve">married before age 15 were from families </w:t>
            </w:r>
            <w:r w:rsidR="00417F67">
              <w:rPr>
                <w:lang w:bidi="ar-SA"/>
              </w:rPr>
              <w:t>in the poorest wealth quintile</w:t>
            </w:r>
            <w:r>
              <w:rPr>
                <w:lang w:bidi="ar-SA"/>
              </w:rPr>
              <w:t>.</w:t>
            </w:r>
          </w:p>
        </w:tc>
        <w:tc>
          <w:tcPr>
            <w:tcW w:w="2328" w:type="dxa"/>
          </w:tcPr>
          <w:p w:rsidR="00410DB7" w:rsidRPr="005F1107" w:rsidRDefault="00410DB7"/>
        </w:tc>
        <w:tc>
          <w:tcPr>
            <w:tcW w:w="990" w:type="dxa"/>
          </w:tcPr>
          <w:p w:rsidR="00410DB7" w:rsidRPr="005F1107" w:rsidRDefault="00410DB7"/>
        </w:tc>
        <w:tc>
          <w:tcPr>
            <w:tcW w:w="1769" w:type="dxa"/>
          </w:tcPr>
          <w:p w:rsidR="00410DB7" w:rsidRPr="005F1107" w:rsidRDefault="00410DB7"/>
        </w:tc>
        <w:tc>
          <w:tcPr>
            <w:tcW w:w="1910" w:type="dxa"/>
          </w:tcPr>
          <w:p w:rsidR="00410DB7" w:rsidRPr="005F1107" w:rsidRDefault="00410DB7"/>
        </w:tc>
        <w:tc>
          <w:tcPr>
            <w:tcW w:w="2031" w:type="dxa"/>
          </w:tcPr>
          <w:p w:rsidR="00410DB7" w:rsidRPr="005F1107" w:rsidRDefault="00410DB7"/>
        </w:tc>
      </w:tr>
      <w:tr w:rsidR="00410DB7" w:rsidTr="00F008B7">
        <w:tc>
          <w:tcPr>
            <w:tcW w:w="467" w:type="dxa"/>
          </w:tcPr>
          <w:p w:rsidR="00410DB7" w:rsidRDefault="007F165F">
            <w:pPr>
              <w:rPr>
                <w:b/>
              </w:rPr>
            </w:pPr>
            <w:r>
              <w:rPr>
                <w:b/>
              </w:rPr>
              <w:t>4</w:t>
            </w:r>
            <w:r w:rsidR="00413A32">
              <w:rPr>
                <w:b/>
              </w:rPr>
              <w:t>b</w:t>
            </w:r>
          </w:p>
        </w:tc>
        <w:tc>
          <w:tcPr>
            <w:tcW w:w="2480" w:type="dxa"/>
          </w:tcPr>
          <w:p w:rsidR="00410DB7" w:rsidRPr="00E93F65" w:rsidRDefault="007F165F" w:rsidP="00655BB4">
            <w:r>
              <w:t xml:space="preserve">Does participation in </w:t>
            </w:r>
            <w:r w:rsidR="00417F67">
              <w:t xml:space="preserve">extracurricular </w:t>
            </w:r>
            <w:r>
              <w:t xml:space="preserve">activities result in delayed first marriage? </w:t>
            </w:r>
          </w:p>
        </w:tc>
        <w:tc>
          <w:tcPr>
            <w:tcW w:w="2641" w:type="dxa"/>
          </w:tcPr>
          <w:p w:rsidR="00410DB7" w:rsidRPr="00410DB7" w:rsidRDefault="00417F67" w:rsidP="00C36201">
            <w:pPr>
              <w:autoSpaceDE w:val="0"/>
              <w:autoSpaceDN w:val="0"/>
              <w:adjustRightInd w:val="0"/>
              <w:rPr>
                <w:lang w:bidi="ar-SA"/>
              </w:rPr>
            </w:pPr>
            <w:r>
              <w:rPr>
                <w:lang w:bidi="ar-SA"/>
              </w:rPr>
              <w:t>20% of girls who delayed marriage until after 15 years of age w</w:t>
            </w:r>
            <w:r w:rsidR="00800928">
              <w:rPr>
                <w:lang w:bidi="ar-SA"/>
              </w:rPr>
              <w:t xml:space="preserve">ere involved in extracurricular </w:t>
            </w:r>
            <w:r>
              <w:rPr>
                <w:lang w:bidi="ar-SA"/>
              </w:rPr>
              <w:t>activities</w:t>
            </w:r>
            <w:r w:rsidR="00655BB4">
              <w:rPr>
                <w:lang w:bidi="ar-SA"/>
              </w:rPr>
              <w:t>,</w:t>
            </w:r>
            <w:r w:rsidR="00800928">
              <w:rPr>
                <w:lang w:bidi="ar-SA"/>
              </w:rPr>
              <w:t xml:space="preserve"> compared to 18% who did not delay marriage until 15 years of age</w:t>
            </w:r>
            <w:r>
              <w:rPr>
                <w:lang w:bidi="ar-SA"/>
              </w:rPr>
              <w:t xml:space="preserve">.  </w:t>
            </w:r>
          </w:p>
        </w:tc>
        <w:tc>
          <w:tcPr>
            <w:tcW w:w="2328" w:type="dxa"/>
          </w:tcPr>
          <w:p w:rsidR="00410DB7" w:rsidRPr="005F1107" w:rsidRDefault="00410DB7"/>
        </w:tc>
        <w:tc>
          <w:tcPr>
            <w:tcW w:w="990" w:type="dxa"/>
          </w:tcPr>
          <w:p w:rsidR="00410DB7" w:rsidRPr="005F1107" w:rsidRDefault="00410DB7"/>
        </w:tc>
        <w:tc>
          <w:tcPr>
            <w:tcW w:w="1769" w:type="dxa"/>
          </w:tcPr>
          <w:p w:rsidR="00410DB7" w:rsidRPr="005F1107" w:rsidRDefault="00410DB7"/>
        </w:tc>
        <w:tc>
          <w:tcPr>
            <w:tcW w:w="1910" w:type="dxa"/>
          </w:tcPr>
          <w:p w:rsidR="00410DB7" w:rsidRPr="005F1107" w:rsidRDefault="00410DB7"/>
        </w:tc>
        <w:tc>
          <w:tcPr>
            <w:tcW w:w="2031" w:type="dxa"/>
          </w:tcPr>
          <w:p w:rsidR="00410DB7" w:rsidRPr="005F1107" w:rsidRDefault="00410DB7"/>
        </w:tc>
      </w:tr>
      <w:tr w:rsidR="007C613D" w:rsidTr="00F008B7">
        <w:tc>
          <w:tcPr>
            <w:tcW w:w="467" w:type="dxa"/>
          </w:tcPr>
          <w:p w:rsidR="007C613D" w:rsidRDefault="007C613D">
            <w:pPr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="00413A32">
              <w:rPr>
                <w:b/>
              </w:rPr>
              <w:t>c</w:t>
            </w:r>
          </w:p>
        </w:tc>
        <w:tc>
          <w:tcPr>
            <w:tcW w:w="2480" w:type="dxa"/>
          </w:tcPr>
          <w:p w:rsidR="007C613D" w:rsidRDefault="007C613D" w:rsidP="00413A32">
            <w:r>
              <w:t>Is there an association between poor birth outcomes and mothers younger than 15 years of age?</w:t>
            </w:r>
          </w:p>
        </w:tc>
        <w:tc>
          <w:tcPr>
            <w:tcW w:w="2641" w:type="dxa"/>
          </w:tcPr>
          <w:p w:rsidR="007C613D" w:rsidRDefault="00196E7C" w:rsidP="00413A32">
            <w:pPr>
              <w:autoSpaceDE w:val="0"/>
              <w:autoSpaceDN w:val="0"/>
              <w:adjustRightInd w:val="0"/>
              <w:rPr>
                <w:lang w:bidi="ar-SA"/>
              </w:rPr>
            </w:pPr>
            <w:r>
              <w:rPr>
                <w:rFonts w:cs="TimesNewRomanPSMT"/>
                <w:lang w:bidi="ar-SA"/>
              </w:rPr>
              <w:t>–</w:t>
            </w:r>
            <w:r w:rsidR="007C613D">
              <w:rPr>
                <w:lang w:bidi="ar-SA"/>
              </w:rPr>
              <w:t xml:space="preserve"> M</w:t>
            </w:r>
            <w:r w:rsidR="007C613D" w:rsidRPr="007C613D">
              <w:rPr>
                <w:lang w:bidi="ar-SA"/>
              </w:rPr>
              <w:t>others younger than 15 years of age</w:t>
            </w:r>
            <w:r w:rsidR="007C613D">
              <w:rPr>
                <w:lang w:bidi="ar-SA"/>
              </w:rPr>
              <w:t xml:space="preserve"> were more likely to deliver a low-birth-rate baby.</w:t>
            </w:r>
          </w:p>
          <w:p w:rsidR="007C613D" w:rsidRPr="007C613D" w:rsidRDefault="00196E7C" w:rsidP="00413A32">
            <w:pPr>
              <w:autoSpaceDE w:val="0"/>
              <w:autoSpaceDN w:val="0"/>
              <w:adjustRightInd w:val="0"/>
              <w:rPr>
                <w:lang w:bidi="ar-SA"/>
              </w:rPr>
            </w:pPr>
            <w:r>
              <w:rPr>
                <w:rFonts w:cs="TimesNewRomanPSMT"/>
                <w:lang w:bidi="ar-SA"/>
              </w:rPr>
              <w:t>–</w:t>
            </w:r>
            <w:r w:rsidR="007C613D">
              <w:rPr>
                <w:lang w:bidi="ar-SA"/>
              </w:rPr>
              <w:t xml:space="preserve"> Child survival rates were significantly higher for mothers over 19 years of age.</w:t>
            </w:r>
          </w:p>
        </w:tc>
        <w:tc>
          <w:tcPr>
            <w:tcW w:w="2328" w:type="dxa"/>
          </w:tcPr>
          <w:p w:rsidR="007C613D" w:rsidRPr="005F1107" w:rsidRDefault="007C613D"/>
        </w:tc>
        <w:tc>
          <w:tcPr>
            <w:tcW w:w="990" w:type="dxa"/>
          </w:tcPr>
          <w:p w:rsidR="007C613D" w:rsidRPr="005F1107" w:rsidRDefault="007C613D"/>
        </w:tc>
        <w:tc>
          <w:tcPr>
            <w:tcW w:w="1769" w:type="dxa"/>
          </w:tcPr>
          <w:p w:rsidR="007C613D" w:rsidRPr="005F1107" w:rsidRDefault="007C613D"/>
        </w:tc>
        <w:tc>
          <w:tcPr>
            <w:tcW w:w="1910" w:type="dxa"/>
          </w:tcPr>
          <w:p w:rsidR="007C613D" w:rsidRPr="005F1107" w:rsidRDefault="007C613D"/>
        </w:tc>
        <w:tc>
          <w:tcPr>
            <w:tcW w:w="2031" w:type="dxa"/>
          </w:tcPr>
          <w:p w:rsidR="007C613D" w:rsidRPr="005F1107" w:rsidRDefault="007C613D"/>
        </w:tc>
      </w:tr>
    </w:tbl>
    <w:p w:rsidR="00F008B7" w:rsidRDefault="00F008B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"/>
        <w:gridCol w:w="2222"/>
        <w:gridCol w:w="3169"/>
        <w:gridCol w:w="2418"/>
        <w:gridCol w:w="989"/>
        <w:gridCol w:w="1680"/>
        <w:gridCol w:w="1873"/>
        <w:gridCol w:w="1798"/>
      </w:tblGrid>
      <w:tr w:rsidR="00EB647C" w:rsidTr="00F008B7">
        <w:tc>
          <w:tcPr>
            <w:tcW w:w="467" w:type="dxa"/>
          </w:tcPr>
          <w:p w:rsidR="005F24C0" w:rsidRDefault="005F24C0" w:rsidP="00413A32">
            <w:pPr>
              <w:rPr>
                <w:b/>
              </w:rPr>
            </w:pPr>
            <w:r>
              <w:lastRenderedPageBreak/>
              <w:br w:type="page"/>
            </w:r>
            <w:r>
              <w:rPr>
                <w:b/>
              </w:rPr>
              <w:t>#</w:t>
            </w:r>
          </w:p>
        </w:tc>
        <w:tc>
          <w:tcPr>
            <w:tcW w:w="2222" w:type="dxa"/>
          </w:tcPr>
          <w:p w:rsidR="005F24C0" w:rsidRDefault="005F24C0" w:rsidP="00413A32">
            <w:pPr>
              <w:rPr>
                <w:b/>
              </w:rPr>
            </w:pPr>
            <w:r>
              <w:rPr>
                <w:b/>
              </w:rPr>
              <w:t>Questions</w:t>
            </w:r>
          </w:p>
        </w:tc>
        <w:tc>
          <w:tcPr>
            <w:tcW w:w="3169" w:type="dxa"/>
          </w:tcPr>
          <w:p w:rsidR="005F24C0" w:rsidRDefault="005F24C0" w:rsidP="00413A32">
            <w:pPr>
              <w:rPr>
                <w:b/>
              </w:rPr>
            </w:pPr>
            <w:r>
              <w:rPr>
                <w:b/>
              </w:rPr>
              <w:t>Findings</w:t>
            </w:r>
          </w:p>
        </w:tc>
        <w:tc>
          <w:tcPr>
            <w:tcW w:w="2418" w:type="dxa"/>
          </w:tcPr>
          <w:p w:rsidR="005F24C0" w:rsidRDefault="005F24C0" w:rsidP="00413A32">
            <w:pPr>
              <w:rPr>
                <w:b/>
              </w:rPr>
            </w:pPr>
            <w:r>
              <w:rPr>
                <w:b/>
              </w:rPr>
              <w:t>Recommendations</w:t>
            </w:r>
          </w:p>
        </w:tc>
        <w:tc>
          <w:tcPr>
            <w:tcW w:w="989" w:type="dxa"/>
          </w:tcPr>
          <w:p w:rsidR="005F24C0" w:rsidRDefault="005F24C0" w:rsidP="00413A32">
            <w:pPr>
              <w:rPr>
                <w:b/>
              </w:rPr>
            </w:pPr>
            <w:r>
              <w:rPr>
                <w:b/>
              </w:rPr>
              <w:t>Priority</w:t>
            </w:r>
          </w:p>
        </w:tc>
        <w:tc>
          <w:tcPr>
            <w:tcW w:w="1680" w:type="dxa"/>
          </w:tcPr>
          <w:p w:rsidR="005F24C0" w:rsidRDefault="005F24C0" w:rsidP="00413A32">
            <w:pPr>
              <w:rPr>
                <w:b/>
              </w:rPr>
            </w:pPr>
            <w:r>
              <w:rPr>
                <w:b/>
              </w:rPr>
              <w:t>Lead Decision Maker</w:t>
            </w:r>
            <w:r w:rsidR="00655BB4">
              <w:rPr>
                <w:b/>
              </w:rPr>
              <w:t xml:space="preserve"> (LDM)</w:t>
            </w:r>
          </w:p>
        </w:tc>
        <w:tc>
          <w:tcPr>
            <w:tcW w:w="1873" w:type="dxa"/>
          </w:tcPr>
          <w:p w:rsidR="005F24C0" w:rsidRDefault="005F24C0" w:rsidP="00413A32">
            <w:pPr>
              <w:rPr>
                <w:b/>
              </w:rPr>
            </w:pPr>
            <w:r>
              <w:rPr>
                <w:b/>
              </w:rPr>
              <w:t>Stakeholders Impacted</w:t>
            </w:r>
          </w:p>
        </w:tc>
        <w:tc>
          <w:tcPr>
            <w:tcW w:w="1798" w:type="dxa"/>
          </w:tcPr>
          <w:p w:rsidR="005F24C0" w:rsidRDefault="005F24C0" w:rsidP="00413A32">
            <w:pPr>
              <w:rPr>
                <w:b/>
              </w:rPr>
            </w:pPr>
            <w:r>
              <w:rPr>
                <w:b/>
              </w:rPr>
              <w:t>Communication Channel</w:t>
            </w:r>
          </w:p>
        </w:tc>
      </w:tr>
      <w:tr w:rsidR="007F165F" w:rsidTr="00F008B7">
        <w:tc>
          <w:tcPr>
            <w:tcW w:w="467" w:type="dxa"/>
          </w:tcPr>
          <w:p w:rsidR="007F165F" w:rsidRDefault="007F165F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22" w:type="dxa"/>
          </w:tcPr>
          <w:p w:rsidR="007F165F" w:rsidRPr="00655BB4" w:rsidRDefault="007F165F" w:rsidP="0025245C">
            <w:r w:rsidRPr="00743A30">
              <w:rPr>
                <w:rStyle w:val="A0"/>
              </w:rPr>
              <w:t xml:space="preserve">Are OVC programs improving the well-being of OVC and their families?  </w:t>
            </w:r>
          </w:p>
        </w:tc>
        <w:tc>
          <w:tcPr>
            <w:tcW w:w="3169" w:type="dxa"/>
          </w:tcPr>
          <w:p w:rsidR="0025245C" w:rsidRDefault="00196E7C" w:rsidP="00DA6BF4">
            <w:pPr>
              <w:autoSpaceDE w:val="0"/>
              <w:autoSpaceDN w:val="0"/>
              <w:adjustRightInd w:val="0"/>
              <w:rPr>
                <w:lang w:bidi="ar-SA"/>
              </w:rPr>
            </w:pPr>
            <w:r>
              <w:rPr>
                <w:rFonts w:cs="TimesNewRomanPSMT"/>
                <w:lang w:bidi="ar-SA"/>
              </w:rPr>
              <w:t>–</w:t>
            </w:r>
            <w:r w:rsidR="00DA6BF4">
              <w:rPr>
                <w:lang w:bidi="ar-SA"/>
              </w:rPr>
              <w:t xml:space="preserve"> </w:t>
            </w:r>
            <w:r w:rsidR="004259AF">
              <w:rPr>
                <w:lang w:bidi="ar-SA"/>
              </w:rPr>
              <w:t>C</w:t>
            </w:r>
            <w:r w:rsidR="0025245C">
              <w:rPr>
                <w:lang w:bidi="ar-SA"/>
              </w:rPr>
              <w:t xml:space="preserve">hildren and families </w:t>
            </w:r>
            <w:r w:rsidR="004259AF">
              <w:rPr>
                <w:lang w:bidi="ar-SA"/>
              </w:rPr>
              <w:t xml:space="preserve">receiving OVC services scored in a lower ‘at risk’ category than </w:t>
            </w:r>
            <w:r w:rsidR="000A459D">
              <w:rPr>
                <w:lang w:bidi="ar-SA"/>
              </w:rPr>
              <w:t>those</w:t>
            </w:r>
            <w:r w:rsidR="004259AF">
              <w:rPr>
                <w:lang w:bidi="ar-SA"/>
              </w:rPr>
              <w:t xml:space="preserve"> not receiving OVC services</w:t>
            </w:r>
            <w:r w:rsidR="00BF19BB">
              <w:rPr>
                <w:lang w:bidi="ar-SA"/>
              </w:rPr>
              <w:t>.</w:t>
            </w:r>
            <w:r w:rsidR="0025245C">
              <w:rPr>
                <w:lang w:bidi="ar-SA"/>
              </w:rPr>
              <w:t xml:space="preserve"> </w:t>
            </w:r>
          </w:p>
          <w:p w:rsidR="00A746E0" w:rsidRPr="00DA6BF4" w:rsidRDefault="00196E7C" w:rsidP="000A459D">
            <w:pPr>
              <w:autoSpaceDE w:val="0"/>
              <w:autoSpaceDN w:val="0"/>
              <w:adjustRightInd w:val="0"/>
              <w:rPr>
                <w:lang w:bidi="ar-SA"/>
              </w:rPr>
            </w:pPr>
            <w:r>
              <w:rPr>
                <w:rFonts w:cs="TimesNewRomanPSMT"/>
                <w:lang w:bidi="ar-SA"/>
              </w:rPr>
              <w:t>–</w:t>
            </w:r>
            <w:r w:rsidR="0025245C">
              <w:rPr>
                <w:lang w:bidi="ar-SA"/>
              </w:rPr>
              <w:t xml:space="preserve"> </w:t>
            </w:r>
            <w:r w:rsidR="00DA6BF4">
              <w:rPr>
                <w:lang w:bidi="ar-SA"/>
              </w:rPr>
              <w:t xml:space="preserve">Children receiving home visits by a trained volunteer </w:t>
            </w:r>
            <w:r w:rsidR="00BF19BB">
              <w:rPr>
                <w:lang w:bidi="ar-SA"/>
              </w:rPr>
              <w:t xml:space="preserve">for more than 6 months showed </w:t>
            </w:r>
            <w:r w:rsidR="000A459D">
              <w:rPr>
                <w:lang w:bidi="ar-SA"/>
              </w:rPr>
              <w:t xml:space="preserve">a </w:t>
            </w:r>
            <w:r w:rsidR="00BF19BB">
              <w:rPr>
                <w:lang w:bidi="ar-SA"/>
              </w:rPr>
              <w:t>better health</w:t>
            </w:r>
            <w:r w:rsidR="005F24C0">
              <w:rPr>
                <w:lang w:bidi="ar-SA"/>
              </w:rPr>
              <w:t xml:space="preserve"> status</w:t>
            </w:r>
            <w:r w:rsidR="00BF19BB">
              <w:rPr>
                <w:lang w:bidi="ar-SA"/>
              </w:rPr>
              <w:t xml:space="preserve"> </w:t>
            </w:r>
            <w:r w:rsidR="00DA6BF4">
              <w:rPr>
                <w:lang w:bidi="ar-SA"/>
              </w:rPr>
              <w:t>than those not receiv</w:t>
            </w:r>
            <w:r w:rsidR="00655BB4">
              <w:rPr>
                <w:lang w:bidi="ar-SA"/>
              </w:rPr>
              <w:t>ing</w:t>
            </w:r>
            <w:r w:rsidR="00DA6BF4">
              <w:rPr>
                <w:lang w:bidi="ar-SA"/>
              </w:rPr>
              <w:t xml:space="preserve"> visits.</w:t>
            </w:r>
            <w:r w:rsidR="005B7C4D">
              <w:rPr>
                <w:lang w:bidi="ar-SA"/>
              </w:rPr>
              <w:t xml:space="preserve">  </w:t>
            </w:r>
          </w:p>
        </w:tc>
        <w:tc>
          <w:tcPr>
            <w:tcW w:w="2418" w:type="dxa"/>
          </w:tcPr>
          <w:p w:rsidR="007F165F" w:rsidRPr="005F1107" w:rsidRDefault="007F165F"/>
        </w:tc>
        <w:tc>
          <w:tcPr>
            <w:tcW w:w="989" w:type="dxa"/>
          </w:tcPr>
          <w:p w:rsidR="007F165F" w:rsidRPr="005F1107" w:rsidRDefault="007F165F"/>
        </w:tc>
        <w:tc>
          <w:tcPr>
            <w:tcW w:w="1680" w:type="dxa"/>
          </w:tcPr>
          <w:p w:rsidR="007F165F" w:rsidRPr="005F1107" w:rsidRDefault="007F165F"/>
        </w:tc>
        <w:tc>
          <w:tcPr>
            <w:tcW w:w="1873" w:type="dxa"/>
          </w:tcPr>
          <w:p w:rsidR="007F165F" w:rsidRDefault="008F4C24">
            <w:r>
              <w:t>1.</w:t>
            </w:r>
          </w:p>
          <w:p w:rsidR="008F4C24" w:rsidRPr="005F1107" w:rsidRDefault="008F4C24">
            <w:r>
              <w:t>2.</w:t>
            </w:r>
          </w:p>
        </w:tc>
        <w:tc>
          <w:tcPr>
            <w:tcW w:w="1798" w:type="dxa"/>
          </w:tcPr>
          <w:p w:rsidR="007F165F" w:rsidRDefault="008F4C24">
            <w:r>
              <w:t>LDM</w:t>
            </w:r>
          </w:p>
          <w:p w:rsidR="008F4C24" w:rsidRDefault="008F4C24">
            <w:r>
              <w:t>1.</w:t>
            </w:r>
          </w:p>
          <w:p w:rsidR="008F4C24" w:rsidRPr="005F1107" w:rsidRDefault="008F4C24">
            <w:r>
              <w:t>2.</w:t>
            </w:r>
          </w:p>
        </w:tc>
      </w:tr>
      <w:tr w:rsidR="007F165F" w:rsidTr="00F008B7">
        <w:tc>
          <w:tcPr>
            <w:tcW w:w="467" w:type="dxa"/>
          </w:tcPr>
          <w:p w:rsidR="007F165F" w:rsidRPr="005F24C0" w:rsidRDefault="005F24C0">
            <w:pPr>
              <w:rPr>
                <w:b/>
              </w:rPr>
            </w:pPr>
            <w:r w:rsidRPr="005F24C0">
              <w:rPr>
                <w:b/>
              </w:rPr>
              <w:t>5</w:t>
            </w:r>
            <w:r w:rsidR="00413A32">
              <w:rPr>
                <w:b/>
              </w:rPr>
              <w:t>a</w:t>
            </w:r>
          </w:p>
        </w:tc>
        <w:tc>
          <w:tcPr>
            <w:tcW w:w="2222" w:type="dxa"/>
          </w:tcPr>
          <w:p w:rsidR="007F165F" w:rsidRPr="005F24C0" w:rsidRDefault="00A746E0" w:rsidP="00C36201">
            <w:r w:rsidRPr="005F24C0">
              <w:t>Does</w:t>
            </w:r>
            <w:r w:rsidR="005F24C0" w:rsidRPr="005F24C0">
              <w:t xml:space="preserve"> </w:t>
            </w:r>
            <w:r w:rsidR="00C36201">
              <w:t>providing</w:t>
            </w:r>
            <w:r w:rsidRPr="005F24C0">
              <w:t xml:space="preserve"> free health services to OVC and their families improve their health</w:t>
            </w:r>
            <w:r w:rsidR="00655BB4">
              <w:t>-</w:t>
            </w:r>
            <w:r w:rsidR="009A56F9">
              <w:t>care-</w:t>
            </w:r>
            <w:r w:rsidRPr="005F24C0">
              <w:t>seeking behavior?</w:t>
            </w:r>
          </w:p>
        </w:tc>
        <w:tc>
          <w:tcPr>
            <w:tcW w:w="3169" w:type="dxa"/>
          </w:tcPr>
          <w:p w:rsidR="007F165F" w:rsidRPr="005F24C0" w:rsidRDefault="00196E7C" w:rsidP="00A746E0">
            <w:pPr>
              <w:autoSpaceDE w:val="0"/>
              <w:autoSpaceDN w:val="0"/>
              <w:adjustRightInd w:val="0"/>
              <w:rPr>
                <w:lang w:bidi="ar-SA"/>
              </w:rPr>
            </w:pPr>
            <w:r>
              <w:rPr>
                <w:rFonts w:cs="TimesNewRomanPSMT"/>
                <w:lang w:bidi="ar-SA"/>
              </w:rPr>
              <w:t>–</w:t>
            </w:r>
            <w:r w:rsidR="00A746E0" w:rsidRPr="005F24C0">
              <w:rPr>
                <w:lang w:bidi="ar-SA"/>
              </w:rPr>
              <w:t xml:space="preserve"> Health</w:t>
            </w:r>
            <w:r w:rsidR="00655BB4">
              <w:rPr>
                <w:lang w:bidi="ar-SA"/>
              </w:rPr>
              <w:t>-</w:t>
            </w:r>
            <w:r w:rsidR="009A56F9">
              <w:rPr>
                <w:lang w:bidi="ar-SA"/>
              </w:rPr>
              <w:t>care-</w:t>
            </w:r>
            <w:r w:rsidR="00A746E0" w:rsidRPr="005F24C0">
              <w:rPr>
                <w:lang w:bidi="ar-SA"/>
              </w:rPr>
              <w:t>seeking behavi</w:t>
            </w:r>
            <w:r w:rsidR="00CF556D">
              <w:rPr>
                <w:lang w:bidi="ar-SA"/>
              </w:rPr>
              <w:t>or increased by 35% for urban O</w:t>
            </w:r>
            <w:r w:rsidR="00A746E0" w:rsidRPr="005F24C0">
              <w:rPr>
                <w:lang w:bidi="ar-SA"/>
              </w:rPr>
              <w:t>V</w:t>
            </w:r>
            <w:r w:rsidR="00CF556D">
              <w:rPr>
                <w:lang w:bidi="ar-SA"/>
              </w:rPr>
              <w:t>C</w:t>
            </w:r>
            <w:r w:rsidR="00A746E0" w:rsidRPr="005F24C0">
              <w:rPr>
                <w:lang w:bidi="ar-SA"/>
              </w:rPr>
              <w:t xml:space="preserve"> families and 11% for rural families. </w:t>
            </w:r>
          </w:p>
          <w:p w:rsidR="00A746E0" w:rsidRPr="005F24C0" w:rsidRDefault="00196E7C" w:rsidP="00A746E0">
            <w:pPr>
              <w:autoSpaceDE w:val="0"/>
              <w:autoSpaceDN w:val="0"/>
              <w:adjustRightInd w:val="0"/>
              <w:rPr>
                <w:lang w:bidi="ar-SA"/>
              </w:rPr>
            </w:pPr>
            <w:r>
              <w:rPr>
                <w:rFonts w:cs="TimesNewRomanPSMT"/>
                <w:lang w:bidi="ar-SA"/>
              </w:rPr>
              <w:t>–</w:t>
            </w:r>
            <w:r w:rsidR="005F24C0" w:rsidRPr="005F24C0">
              <w:rPr>
                <w:lang w:bidi="ar-SA"/>
              </w:rPr>
              <w:t xml:space="preserve"> </w:t>
            </w:r>
            <w:r w:rsidR="00A746E0" w:rsidRPr="005F24C0">
              <w:rPr>
                <w:lang w:bidi="ar-SA"/>
              </w:rPr>
              <w:t xml:space="preserve">Regular visits by </w:t>
            </w:r>
            <w:r w:rsidR="005F24C0" w:rsidRPr="005F24C0">
              <w:rPr>
                <w:lang w:bidi="ar-SA"/>
              </w:rPr>
              <w:t>trained volunteers appeared to be associated with increased health</w:t>
            </w:r>
            <w:r w:rsidR="00655BB4">
              <w:rPr>
                <w:lang w:bidi="ar-SA"/>
              </w:rPr>
              <w:t>-</w:t>
            </w:r>
            <w:r w:rsidR="009A56F9">
              <w:rPr>
                <w:lang w:bidi="ar-SA"/>
              </w:rPr>
              <w:t>care-</w:t>
            </w:r>
            <w:r w:rsidR="005F24C0" w:rsidRPr="005F24C0">
              <w:rPr>
                <w:lang w:bidi="ar-SA"/>
              </w:rPr>
              <w:t>seeking behavior for rural OVC families.</w:t>
            </w:r>
          </w:p>
        </w:tc>
        <w:tc>
          <w:tcPr>
            <w:tcW w:w="2418" w:type="dxa"/>
          </w:tcPr>
          <w:p w:rsidR="007F165F" w:rsidRPr="005F1107" w:rsidRDefault="007F165F"/>
        </w:tc>
        <w:tc>
          <w:tcPr>
            <w:tcW w:w="989" w:type="dxa"/>
          </w:tcPr>
          <w:p w:rsidR="007F165F" w:rsidRPr="005F1107" w:rsidRDefault="007F165F"/>
        </w:tc>
        <w:tc>
          <w:tcPr>
            <w:tcW w:w="1680" w:type="dxa"/>
          </w:tcPr>
          <w:p w:rsidR="007F165F" w:rsidRPr="005F1107" w:rsidRDefault="007F165F"/>
        </w:tc>
        <w:tc>
          <w:tcPr>
            <w:tcW w:w="1873" w:type="dxa"/>
          </w:tcPr>
          <w:p w:rsidR="007F165F" w:rsidRPr="005F1107" w:rsidRDefault="007F165F"/>
        </w:tc>
        <w:tc>
          <w:tcPr>
            <w:tcW w:w="1798" w:type="dxa"/>
          </w:tcPr>
          <w:p w:rsidR="007F165F" w:rsidRPr="005F1107" w:rsidRDefault="007F165F"/>
        </w:tc>
      </w:tr>
      <w:tr w:rsidR="00DA6BF4" w:rsidTr="00F008B7">
        <w:tc>
          <w:tcPr>
            <w:tcW w:w="467" w:type="dxa"/>
          </w:tcPr>
          <w:p w:rsidR="00DA6BF4" w:rsidRPr="002428A4" w:rsidRDefault="0025245C">
            <w:pPr>
              <w:rPr>
                <w:b/>
                <w:highlight w:val="yellow"/>
              </w:rPr>
            </w:pPr>
            <w:r w:rsidRPr="00BF19BB">
              <w:rPr>
                <w:b/>
              </w:rPr>
              <w:t>5</w:t>
            </w:r>
            <w:r w:rsidR="00413A32">
              <w:rPr>
                <w:b/>
              </w:rPr>
              <w:t>b</w:t>
            </w:r>
          </w:p>
        </w:tc>
        <w:tc>
          <w:tcPr>
            <w:tcW w:w="2222" w:type="dxa"/>
          </w:tcPr>
          <w:p w:rsidR="00DA6BF4" w:rsidRPr="00743A30" w:rsidRDefault="0025245C" w:rsidP="0025245C">
            <w:pPr>
              <w:rPr>
                <w:rStyle w:val="A0"/>
              </w:rPr>
            </w:pPr>
            <w:r w:rsidRPr="00743A30">
              <w:rPr>
                <w:rStyle w:val="A0"/>
              </w:rPr>
              <w:t>Do OVC programs affect children’s attendance in school?</w:t>
            </w:r>
          </w:p>
        </w:tc>
        <w:tc>
          <w:tcPr>
            <w:tcW w:w="3169" w:type="dxa"/>
          </w:tcPr>
          <w:p w:rsidR="00DA6BF4" w:rsidRPr="002D12D6" w:rsidRDefault="000B53C0" w:rsidP="0025245C">
            <w:pPr>
              <w:autoSpaceDE w:val="0"/>
              <w:autoSpaceDN w:val="0"/>
              <w:adjustRightInd w:val="0"/>
              <w:rPr>
                <w:lang w:bidi="ar-SA"/>
              </w:rPr>
            </w:pPr>
            <w:r>
              <w:rPr>
                <w:rFonts w:cs="TimesNewRomanPSMT"/>
                <w:lang w:bidi="ar-SA"/>
              </w:rPr>
              <w:t>–</w:t>
            </w:r>
            <w:r w:rsidR="0025245C" w:rsidRPr="002D12D6">
              <w:rPr>
                <w:lang w:bidi="ar-SA"/>
              </w:rPr>
              <w:t xml:space="preserve"> Of OVC attending school and receiving OVC services, 71% missed more than 5 days of school in the last 6 months</w:t>
            </w:r>
            <w:r w:rsidR="004833E4">
              <w:rPr>
                <w:lang w:bidi="ar-SA"/>
              </w:rPr>
              <w:t>,</w:t>
            </w:r>
            <w:r w:rsidR="0025245C" w:rsidRPr="002D12D6">
              <w:rPr>
                <w:lang w:bidi="ar-SA"/>
              </w:rPr>
              <w:t xml:space="preserve"> compared to 69% of OVC not </w:t>
            </w:r>
            <w:r w:rsidR="002428A4" w:rsidRPr="002D12D6">
              <w:rPr>
                <w:lang w:bidi="ar-SA"/>
              </w:rPr>
              <w:t>receiving</w:t>
            </w:r>
            <w:r w:rsidR="005F24C0" w:rsidRPr="002D12D6">
              <w:rPr>
                <w:lang w:bidi="ar-SA"/>
              </w:rPr>
              <w:t xml:space="preserve"> services</w:t>
            </w:r>
            <w:r w:rsidR="0025245C" w:rsidRPr="002D12D6">
              <w:rPr>
                <w:lang w:bidi="ar-SA"/>
              </w:rPr>
              <w:t>.</w:t>
            </w:r>
          </w:p>
          <w:p w:rsidR="002428A4" w:rsidRPr="00BF19BB" w:rsidRDefault="000B53C0" w:rsidP="000B53C0">
            <w:pPr>
              <w:autoSpaceDE w:val="0"/>
              <w:autoSpaceDN w:val="0"/>
              <w:adjustRightInd w:val="0"/>
              <w:rPr>
                <w:lang w:bidi="ar-SA"/>
              </w:rPr>
            </w:pPr>
            <w:r>
              <w:rPr>
                <w:rFonts w:cs="TimesNewRomanPSMT"/>
                <w:lang w:bidi="ar-SA"/>
              </w:rPr>
              <w:t>–</w:t>
            </w:r>
            <w:r w:rsidR="002428A4" w:rsidRPr="002D12D6">
              <w:rPr>
                <w:lang w:bidi="ar-SA"/>
              </w:rPr>
              <w:t xml:space="preserve"> Of OVC attending school and receiving school fee vouchers, </w:t>
            </w:r>
            <w:r w:rsidR="004259AF" w:rsidRPr="002D12D6">
              <w:rPr>
                <w:lang w:bidi="ar-SA"/>
              </w:rPr>
              <w:t>48</w:t>
            </w:r>
            <w:r w:rsidR="002428A4" w:rsidRPr="002D12D6">
              <w:rPr>
                <w:lang w:bidi="ar-SA"/>
              </w:rPr>
              <w:t>% missed more than 5 days of school in the last 6 months</w:t>
            </w:r>
            <w:r w:rsidR="004833E4">
              <w:rPr>
                <w:lang w:bidi="ar-SA"/>
              </w:rPr>
              <w:t>,</w:t>
            </w:r>
            <w:r w:rsidR="002428A4" w:rsidRPr="002D12D6">
              <w:rPr>
                <w:lang w:bidi="ar-SA"/>
              </w:rPr>
              <w:t xml:space="preserve"> compared to 69% of OVC not</w:t>
            </w:r>
            <w:r w:rsidR="002428A4" w:rsidRPr="00BF19BB">
              <w:rPr>
                <w:lang w:bidi="ar-SA"/>
              </w:rPr>
              <w:t xml:space="preserve"> receiving vouchers.</w:t>
            </w:r>
          </w:p>
        </w:tc>
        <w:tc>
          <w:tcPr>
            <w:tcW w:w="2418" w:type="dxa"/>
          </w:tcPr>
          <w:p w:rsidR="00DA6BF4" w:rsidRPr="005F1107" w:rsidRDefault="00DA6BF4"/>
        </w:tc>
        <w:tc>
          <w:tcPr>
            <w:tcW w:w="989" w:type="dxa"/>
          </w:tcPr>
          <w:p w:rsidR="00DA6BF4" w:rsidRPr="005F1107" w:rsidRDefault="00DA6BF4"/>
        </w:tc>
        <w:tc>
          <w:tcPr>
            <w:tcW w:w="1680" w:type="dxa"/>
          </w:tcPr>
          <w:p w:rsidR="00DA6BF4" w:rsidRPr="005F1107" w:rsidRDefault="00DA6BF4"/>
        </w:tc>
        <w:tc>
          <w:tcPr>
            <w:tcW w:w="1873" w:type="dxa"/>
          </w:tcPr>
          <w:p w:rsidR="00DA6BF4" w:rsidRPr="005F1107" w:rsidRDefault="00DA6BF4"/>
        </w:tc>
        <w:tc>
          <w:tcPr>
            <w:tcW w:w="1798" w:type="dxa"/>
          </w:tcPr>
          <w:p w:rsidR="00DA6BF4" w:rsidRPr="005F1107" w:rsidRDefault="00DA6BF4"/>
        </w:tc>
      </w:tr>
    </w:tbl>
    <w:p w:rsidR="008F4C24" w:rsidRDefault="008F4C2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"/>
        <w:gridCol w:w="2211"/>
        <w:gridCol w:w="3180"/>
        <w:gridCol w:w="2415"/>
        <w:gridCol w:w="989"/>
        <w:gridCol w:w="1682"/>
        <w:gridCol w:w="1874"/>
        <w:gridCol w:w="1798"/>
      </w:tblGrid>
      <w:tr w:rsidR="00EB647C" w:rsidTr="00F008B7">
        <w:tc>
          <w:tcPr>
            <w:tcW w:w="467" w:type="dxa"/>
          </w:tcPr>
          <w:p w:rsidR="00EB647C" w:rsidRDefault="00EB647C" w:rsidP="00413A32">
            <w:pPr>
              <w:rPr>
                <w:b/>
              </w:rPr>
            </w:pPr>
            <w:r>
              <w:rPr>
                <w:b/>
              </w:rPr>
              <w:lastRenderedPageBreak/>
              <w:t>#</w:t>
            </w:r>
          </w:p>
        </w:tc>
        <w:tc>
          <w:tcPr>
            <w:tcW w:w="2211" w:type="dxa"/>
          </w:tcPr>
          <w:p w:rsidR="00EB647C" w:rsidRDefault="00EB647C" w:rsidP="00413A32">
            <w:pPr>
              <w:rPr>
                <w:b/>
              </w:rPr>
            </w:pPr>
            <w:r>
              <w:rPr>
                <w:b/>
              </w:rPr>
              <w:t>Questions</w:t>
            </w:r>
          </w:p>
        </w:tc>
        <w:tc>
          <w:tcPr>
            <w:tcW w:w="3180" w:type="dxa"/>
          </w:tcPr>
          <w:p w:rsidR="00EB647C" w:rsidRDefault="00EB647C" w:rsidP="00413A32">
            <w:pPr>
              <w:rPr>
                <w:b/>
              </w:rPr>
            </w:pPr>
            <w:r>
              <w:rPr>
                <w:b/>
              </w:rPr>
              <w:t>Findings</w:t>
            </w:r>
          </w:p>
        </w:tc>
        <w:tc>
          <w:tcPr>
            <w:tcW w:w="2415" w:type="dxa"/>
          </w:tcPr>
          <w:p w:rsidR="00EB647C" w:rsidRDefault="00EB647C" w:rsidP="00413A32">
            <w:pPr>
              <w:rPr>
                <w:b/>
              </w:rPr>
            </w:pPr>
            <w:r>
              <w:rPr>
                <w:b/>
              </w:rPr>
              <w:t>Recommendations</w:t>
            </w:r>
          </w:p>
        </w:tc>
        <w:tc>
          <w:tcPr>
            <w:tcW w:w="989" w:type="dxa"/>
          </w:tcPr>
          <w:p w:rsidR="00EB647C" w:rsidRDefault="00EB647C" w:rsidP="00413A32">
            <w:pPr>
              <w:rPr>
                <w:b/>
              </w:rPr>
            </w:pPr>
            <w:r>
              <w:rPr>
                <w:b/>
              </w:rPr>
              <w:t>Priority</w:t>
            </w:r>
          </w:p>
        </w:tc>
        <w:tc>
          <w:tcPr>
            <w:tcW w:w="1682" w:type="dxa"/>
          </w:tcPr>
          <w:p w:rsidR="00EB647C" w:rsidRDefault="00EB647C" w:rsidP="00413A32">
            <w:pPr>
              <w:rPr>
                <w:b/>
              </w:rPr>
            </w:pPr>
            <w:r>
              <w:rPr>
                <w:b/>
              </w:rPr>
              <w:t>Lead Decision Maker</w:t>
            </w:r>
            <w:r w:rsidR="004833E4">
              <w:rPr>
                <w:b/>
              </w:rPr>
              <w:t xml:space="preserve"> (LDM)</w:t>
            </w:r>
          </w:p>
        </w:tc>
        <w:tc>
          <w:tcPr>
            <w:tcW w:w="1874" w:type="dxa"/>
          </w:tcPr>
          <w:p w:rsidR="00EB647C" w:rsidRDefault="00EB647C" w:rsidP="00413A32">
            <w:pPr>
              <w:rPr>
                <w:b/>
              </w:rPr>
            </w:pPr>
            <w:r>
              <w:rPr>
                <w:b/>
              </w:rPr>
              <w:t>Stakeholders Impacted</w:t>
            </w:r>
          </w:p>
        </w:tc>
        <w:tc>
          <w:tcPr>
            <w:tcW w:w="1798" w:type="dxa"/>
          </w:tcPr>
          <w:p w:rsidR="00EB647C" w:rsidRDefault="00EB647C" w:rsidP="00413A32">
            <w:pPr>
              <w:rPr>
                <w:b/>
              </w:rPr>
            </w:pPr>
            <w:r>
              <w:rPr>
                <w:b/>
              </w:rPr>
              <w:t>Communication Channel</w:t>
            </w:r>
          </w:p>
        </w:tc>
      </w:tr>
      <w:tr w:rsidR="00FF73FE" w:rsidTr="00F008B7">
        <w:tc>
          <w:tcPr>
            <w:tcW w:w="467" w:type="dxa"/>
          </w:tcPr>
          <w:p w:rsidR="00FF73FE" w:rsidRDefault="00FF4BF3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11" w:type="dxa"/>
          </w:tcPr>
          <w:p w:rsidR="00FF73FE" w:rsidRPr="007F165F" w:rsidRDefault="00FF4BF3" w:rsidP="009A56F9">
            <w:pPr>
              <w:spacing w:after="200" w:line="276" w:lineRule="auto"/>
            </w:pPr>
            <w:r>
              <w:t>What is the status of health</w:t>
            </w:r>
            <w:r w:rsidR="009A56F9">
              <w:t>-</w:t>
            </w:r>
            <w:r>
              <w:t>care</w:t>
            </w:r>
            <w:r w:rsidR="004833E4">
              <w:t>-</w:t>
            </w:r>
            <w:r>
              <w:t xml:space="preserve">seeking behavior </w:t>
            </w:r>
            <w:r w:rsidR="008F4C24">
              <w:t xml:space="preserve">of caretakers for </w:t>
            </w:r>
            <w:r>
              <w:t xml:space="preserve">children under 5 years of age? </w:t>
            </w:r>
          </w:p>
        </w:tc>
        <w:tc>
          <w:tcPr>
            <w:tcW w:w="3180" w:type="dxa"/>
          </w:tcPr>
          <w:p w:rsidR="008F4C24" w:rsidRDefault="000B53C0" w:rsidP="008F4C24">
            <w:pPr>
              <w:autoSpaceDE w:val="0"/>
              <w:autoSpaceDN w:val="0"/>
              <w:adjustRightInd w:val="0"/>
              <w:rPr>
                <w:rFonts w:cs="Arial"/>
                <w:color w:val="292526"/>
                <w:lang w:bidi="ar-SA"/>
              </w:rPr>
            </w:pPr>
            <w:r>
              <w:rPr>
                <w:rFonts w:cs="TimesNewRomanPSMT"/>
                <w:lang w:bidi="ar-SA"/>
              </w:rPr>
              <w:t>–</w:t>
            </w:r>
            <w:r w:rsidR="00477BE3" w:rsidRPr="00063A0D">
              <w:rPr>
                <w:rFonts w:cs="Arial"/>
                <w:color w:val="292526"/>
                <w:lang w:bidi="ar-SA"/>
              </w:rPr>
              <w:t xml:space="preserve"> </w:t>
            </w:r>
            <w:r w:rsidR="00063A0D" w:rsidRPr="00063A0D">
              <w:rPr>
                <w:rFonts w:cs="Arial"/>
                <w:color w:val="292526"/>
                <w:lang w:bidi="ar-SA"/>
              </w:rPr>
              <w:t>25% of caretakers whose children displayed on</w:t>
            </w:r>
            <w:r w:rsidR="00396DBD">
              <w:rPr>
                <w:rFonts w:cs="Arial"/>
                <w:color w:val="292526"/>
                <w:lang w:bidi="ar-SA"/>
              </w:rPr>
              <w:t>e or more illness danger signs did not seek</w:t>
            </w:r>
            <w:r w:rsidR="00063A0D" w:rsidRPr="00063A0D">
              <w:rPr>
                <w:rFonts w:cs="Arial"/>
                <w:color w:val="292526"/>
                <w:lang w:bidi="ar-SA"/>
              </w:rPr>
              <w:t xml:space="preserve"> </w:t>
            </w:r>
            <w:r w:rsidR="00063A0D">
              <w:rPr>
                <w:rFonts w:cs="Arial"/>
                <w:color w:val="292526"/>
                <w:lang w:bidi="ar-SA"/>
              </w:rPr>
              <w:t xml:space="preserve">care </w:t>
            </w:r>
            <w:r w:rsidR="00063A0D" w:rsidRPr="00063A0D">
              <w:rPr>
                <w:rFonts w:cs="Arial"/>
                <w:color w:val="292526"/>
                <w:lang w:bidi="ar-SA"/>
              </w:rPr>
              <w:t>outside</w:t>
            </w:r>
            <w:r w:rsidR="0061143A">
              <w:rPr>
                <w:rFonts w:cs="Arial"/>
                <w:color w:val="292526"/>
                <w:lang w:bidi="ar-SA"/>
              </w:rPr>
              <w:t xml:space="preserve"> of</w:t>
            </w:r>
            <w:r w:rsidR="00063A0D" w:rsidRPr="00063A0D">
              <w:rPr>
                <w:rFonts w:cs="Arial"/>
                <w:color w:val="292526"/>
                <w:lang w:bidi="ar-SA"/>
              </w:rPr>
              <w:t xml:space="preserve"> </w:t>
            </w:r>
            <w:r w:rsidR="00063A0D">
              <w:rPr>
                <w:rFonts w:cs="Arial"/>
                <w:color w:val="292526"/>
                <w:lang w:bidi="ar-SA"/>
              </w:rPr>
              <w:t>the home</w:t>
            </w:r>
            <w:r w:rsidR="00063A0D" w:rsidRPr="00063A0D">
              <w:rPr>
                <w:rFonts w:cs="Arial"/>
                <w:color w:val="292526"/>
                <w:lang w:bidi="ar-SA"/>
              </w:rPr>
              <w:t xml:space="preserve">, while 35% did not take any action at all. </w:t>
            </w:r>
            <w:r w:rsidR="00C951D8">
              <w:rPr>
                <w:rFonts w:cs="Arial"/>
                <w:color w:val="292526"/>
                <w:lang w:bidi="ar-SA"/>
              </w:rPr>
              <w:t>Lack of health</w:t>
            </w:r>
            <w:r w:rsidR="009A56F9">
              <w:rPr>
                <w:rFonts w:cs="Arial"/>
                <w:color w:val="292526"/>
                <w:lang w:bidi="ar-SA"/>
              </w:rPr>
              <w:t>-</w:t>
            </w:r>
            <w:r w:rsidR="00C951D8">
              <w:rPr>
                <w:rFonts w:cs="Arial"/>
                <w:color w:val="292526"/>
                <w:lang w:bidi="ar-SA"/>
              </w:rPr>
              <w:t>care</w:t>
            </w:r>
            <w:r w:rsidR="004833E4">
              <w:rPr>
                <w:rFonts w:cs="Arial"/>
                <w:color w:val="292526"/>
                <w:lang w:bidi="ar-SA"/>
              </w:rPr>
              <w:t>-</w:t>
            </w:r>
            <w:r w:rsidR="00C951D8">
              <w:rPr>
                <w:rFonts w:cs="Arial"/>
                <w:color w:val="292526"/>
                <w:lang w:bidi="ar-SA"/>
              </w:rPr>
              <w:t xml:space="preserve">seeking behavior outside </w:t>
            </w:r>
            <w:r w:rsidR="004833E4">
              <w:rPr>
                <w:rFonts w:cs="Arial"/>
                <w:color w:val="292526"/>
                <w:lang w:bidi="ar-SA"/>
              </w:rPr>
              <w:t xml:space="preserve">of </w:t>
            </w:r>
            <w:r w:rsidR="00C951D8">
              <w:rPr>
                <w:rFonts w:cs="Arial"/>
                <w:color w:val="292526"/>
                <w:lang w:bidi="ar-SA"/>
              </w:rPr>
              <w:t>the home was directly correlated with younger age</w:t>
            </w:r>
            <w:r w:rsidR="008F4C24">
              <w:rPr>
                <w:rFonts w:cs="Arial"/>
                <w:color w:val="292526"/>
                <w:lang w:bidi="ar-SA"/>
              </w:rPr>
              <w:t xml:space="preserve"> of child</w:t>
            </w:r>
            <w:r w:rsidR="00C951D8">
              <w:rPr>
                <w:rFonts w:cs="Arial"/>
                <w:color w:val="292526"/>
                <w:lang w:bidi="ar-SA"/>
              </w:rPr>
              <w:t xml:space="preserve">. </w:t>
            </w:r>
          </w:p>
          <w:p w:rsidR="00477BE3" w:rsidRPr="00777244" w:rsidRDefault="0061143A" w:rsidP="002A044B">
            <w:pPr>
              <w:autoSpaceDE w:val="0"/>
              <w:autoSpaceDN w:val="0"/>
              <w:adjustRightInd w:val="0"/>
              <w:rPr>
                <w:rFonts w:cs="Arial"/>
                <w:color w:val="292526"/>
                <w:lang w:bidi="ar-SA"/>
              </w:rPr>
            </w:pPr>
            <w:r>
              <w:rPr>
                <w:rFonts w:cs="TimesNewRomanPSMT"/>
                <w:lang w:bidi="ar-SA"/>
              </w:rPr>
              <w:t>–</w:t>
            </w:r>
            <w:r w:rsidR="00063A0D">
              <w:rPr>
                <w:rFonts w:cs="Arial"/>
                <w:color w:val="292526"/>
                <w:lang w:bidi="ar-SA"/>
              </w:rPr>
              <w:t xml:space="preserve"> </w:t>
            </w:r>
            <w:r w:rsidR="00063A0D" w:rsidRPr="00063A0D">
              <w:rPr>
                <w:rFonts w:cs="Arial"/>
                <w:color w:val="292526"/>
                <w:lang w:bidi="ar-SA"/>
              </w:rPr>
              <w:t xml:space="preserve">Of the caretakers </w:t>
            </w:r>
            <w:r w:rsidR="002A044B">
              <w:rPr>
                <w:rFonts w:cs="Arial"/>
                <w:color w:val="292526"/>
                <w:lang w:bidi="ar-SA"/>
              </w:rPr>
              <w:t>who</w:t>
            </w:r>
            <w:r w:rsidR="002A044B" w:rsidRPr="00063A0D">
              <w:rPr>
                <w:rFonts w:cs="Arial"/>
                <w:color w:val="292526"/>
                <w:lang w:bidi="ar-SA"/>
              </w:rPr>
              <w:t xml:space="preserve"> </w:t>
            </w:r>
            <w:r w:rsidR="00063A0D" w:rsidRPr="00063A0D">
              <w:rPr>
                <w:rFonts w:cs="Arial"/>
                <w:color w:val="292526"/>
                <w:lang w:bidi="ar-SA"/>
              </w:rPr>
              <w:t xml:space="preserve">sought </w:t>
            </w:r>
            <w:r w:rsidR="00063A0D">
              <w:rPr>
                <w:rFonts w:cs="Arial"/>
                <w:color w:val="292526"/>
                <w:lang w:bidi="ar-SA"/>
              </w:rPr>
              <w:t>care outside</w:t>
            </w:r>
            <w:r w:rsidR="002A044B">
              <w:rPr>
                <w:rFonts w:cs="Arial"/>
                <w:color w:val="292526"/>
                <w:lang w:bidi="ar-SA"/>
              </w:rPr>
              <w:t xml:space="preserve"> of</w:t>
            </w:r>
            <w:r w:rsidR="00063A0D">
              <w:rPr>
                <w:rFonts w:cs="Arial"/>
                <w:color w:val="292526"/>
                <w:lang w:bidi="ar-SA"/>
              </w:rPr>
              <w:t xml:space="preserve"> the home, </w:t>
            </w:r>
            <w:r w:rsidR="005040B4">
              <w:rPr>
                <w:rFonts w:cs="Arial"/>
                <w:color w:val="292526"/>
                <w:lang w:bidi="ar-SA"/>
              </w:rPr>
              <w:t>55</w:t>
            </w:r>
            <w:r w:rsidR="00063A0D" w:rsidRPr="00063A0D">
              <w:rPr>
                <w:rFonts w:cs="Arial"/>
                <w:color w:val="292526"/>
                <w:lang w:bidi="ar-SA"/>
              </w:rPr>
              <w:t>% consulted a traditional provider</w:t>
            </w:r>
            <w:r w:rsidR="005040B4">
              <w:rPr>
                <w:rFonts w:cs="Arial"/>
                <w:color w:val="292526"/>
                <w:lang w:bidi="ar-SA"/>
              </w:rPr>
              <w:t xml:space="preserve"> and </w:t>
            </w:r>
            <w:r w:rsidR="00063A0D" w:rsidRPr="00063A0D">
              <w:rPr>
                <w:rFonts w:cs="Arial"/>
                <w:color w:val="292526"/>
                <w:lang w:bidi="ar-SA"/>
              </w:rPr>
              <w:t>4</w:t>
            </w:r>
            <w:r w:rsidR="005040B4">
              <w:rPr>
                <w:rFonts w:cs="Arial"/>
                <w:color w:val="292526"/>
                <w:lang w:bidi="ar-SA"/>
              </w:rPr>
              <w:t>5</w:t>
            </w:r>
            <w:r w:rsidR="00063A0D" w:rsidRPr="00063A0D">
              <w:rPr>
                <w:rFonts w:cs="Arial"/>
                <w:color w:val="292526"/>
                <w:lang w:bidi="ar-SA"/>
              </w:rPr>
              <w:t>% sought help from</w:t>
            </w:r>
            <w:r w:rsidR="00777244">
              <w:rPr>
                <w:rFonts w:cs="Arial"/>
                <w:color w:val="292526"/>
                <w:lang w:bidi="ar-SA"/>
              </w:rPr>
              <w:t xml:space="preserve"> </w:t>
            </w:r>
            <w:r w:rsidR="00063A0D" w:rsidRPr="00063A0D">
              <w:rPr>
                <w:rFonts w:cs="Arial"/>
                <w:color w:val="292526"/>
                <w:lang w:bidi="ar-SA"/>
              </w:rPr>
              <w:t>a modern provider (health center/hospital).</w:t>
            </w:r>
          </w:p>
        </w:tc>
        <w:tc>
          <w:tcPr>
            <w:tcW w:w="2415" w:type="dxa"/>
          </w:tcPr>
          <w:p w:rsidR="00FF73FE" w:rsidRPr="005F1107" w:rsidRDefault="00FF73FE"/>
        </w:tc>
        <w:tc>
          <w:tcPr>
            <w:tcW w:w="989" w:type="dxa"/>
          </w:tcPr>
          <w:p w:rsidR="00FF73FE" w:rsidRPr="005F1107" w:rsidRDefault="00FF73FE"/>
        </w:tc>
        <w:tc>
          <w:tcPr>
            <w:tcW w:w="1682" w:type="dxa"/>
          </w:tcPr>
          <w:p w:rsidR="00FF73FE" w:rsidRPr="005F1107" w:rsidRDefault="00FF73FE"/>
        </w:tc>
        <w:tc>
          <w:tcPr>
            <w:tcW w:w="1874" w:type="dxa"/>
          </w:tcPr>
          <w:p w:rsidR="00FF73FE" w:rsidRDefault="008F4C24">
            <w:r>
              <w:t>1.</w:t>
            </w:r>
          </w:p>
          <w:p w:rsidR="008F4C24" w:rsidRPr="005F1107" w:rsidRDefault="008F4C24">
            <w:r>
              <w:t>2.</w:t>
            </w:r>
          </w:p>
        </w:tc>
        <w:tc>
          <w:tcPr>
            <w:tcW w:w="1798" w:type="dxa"/>
          </w:tcPr>
          <w:p w:rsidR="00FF73FE" w:rsidRDefault="008F4C24">
            <w:r>
              <w:t>LDM</w:t>
            </w:r>
          </w:p>
          <w:p w:rsidR="008F4C24" w:rsidRDefault="008F4C24">
            <w:r>
              <w:t>1.</w:t>
            </w:r>
          </w:p>
          <w:p w:rsidR="008F4C24" w:rsidRPr="005F1107" w:rsidRDefault="008F4C24">
            <w:r>
              <w:t>2.</w:t>
            </w:r>
          </w:p>
        </w:tc>
      </w:tr>
      <w:tr w:rsidR="00FF73FE" w:rsidTr="00F008B7">
        <w:tc>
          <w:tcPr>
            <w:tcW w:w="467" w:type="dxa"/>
          </w:tcPr>
          <w:p w:rsidR="00FF73FE" w:rsidRDefault="005040B4">
            <w:pPr>
              <w:rPr>
                <w:b/>
              </w:rPr>
            </w:pPr>
            <w:r>
              <w:rPr>
                <w:b/>
              </w:rPr>
              <w:t>6</w:t>
            </w:r>
            <w:r w:rsidR="00413A32">
              <w:rPr>
                <w:b/>
              </w:rPr>
              <w:t>a</w:t>
            </w:r>
          </w:p>
        </w:tc>
        <w:tc>
          <w:tcPr>
            <w:tcW w:w="2211" w:type="dxa"/>
          </w:tcPr>
          <w:p w:rsidR="00FF73FE" w:rsidRPr="007F165F" w:rsidRDefault="003B090A" w:rsidP="002A044B">
            <w:pPr>
              <w:spacing w:after="200" w:line="276" w:lineRule="auto"/>
            </w:pPr>
            <w:r>
              <w:t xml:space="preserve">What factors affect </w:t>
            </w:r>
            <w:r w:rsidR="008F4C24">
              <w:t xml:space="preserve">the </w:t>
            </w:r>
            <w:r>
              <w:t>health</w:t>
            </w:r>
            <w:r w:rsidR="002A044B">
              <w:t>-</w:t>
            </w:r>
            <w:r>
              <w:t>care</w:t>
            </w:r>
            <w:r w:rsidR="004833E4">
              <w:t>-</w:t>
            </w:r>
            <w:r>
              <w:t>seeking behavior</w:t>
            </w:r>
            <w:r w:rsidR="008F4C24">
              <w:t xml:space="preserve"> of caretakers</w:t>
            </w:r>
            <w:r>
              <w:t xml:space="preserve">? </w:t>
            </w:r>
          </w:p>
        </w:tc>
        <w:tc>
          <w:tcPr>
            <w:tcW w:w="3180" w:type="dxa"/>
          </w:tcPr>
          <w:p w:rsidR="00FF73FE" w:rsidRDefault="0061143A" w:rsidP="003B090A">
            <w:pPr>
              <w:autoSpaceDE w:val="0"/>
              <w:autoSpaceDN w:val="0"/>
              <w:adjustRightInd w:val="0"/>
              <w:rPr>
                <w:lang w:bidi="ar-SA"/>
              </w:rPr>
            </w:pPr>
            <w:r>
              <w:rPr>
                <w:rFonts w:cs="TimesNewRomanPSMT"/>
                <w:lang w:bidi="ar-SA"/>
              </w:rPr>
              <w:t>–</w:t>
            </w:r>
            <w:r w:rsidR="003B090A">
              <w:rPr>
                <w:lang w:bidi="ar-SA"/>
              </w:rPr>
              <w:t xml:space="preserve"> 46</w:t>
            </w:r>
            <w:r w:rsidR="00C951D8">
              <w:rPr>
                <w:lang w:bidi="ar-SA"/>
              </w:rPr>
              <w:t>% of caretakers live more than 9</w:t>
            </w:r>
            <w:r w:rsidR="003B090A">
              <w:rPr>
                <w:lang w:bidi="ar-SA"/>
              </w:rPr>
              <w:t xml:space="preserve">km from a </w:t>
            </w:r>
            <w:r w:rsidR="008F4C24">
              <w:rPr>
                <w:lang w:bidi="ar-SA"/>
              </w:rPr>
              <w:t>health facility.</w:t>
            </w:r>
          </w:p>
          <w:p w:rsidR="003B090A" w:rsidRPr="003B090A" w:rsidRDefault="0061143A" w:rsidP="003B090A">
            <w:pPr>
              <w:autoSpaceDE w:val="0"/>
              <w:autoSpaceDN w:val="0"/>
              <w:adjustRightInd w:val="0"/>
              <w:rPr>
                <w:lang w:bidi="ar-SA"/>
              </w:rPr>
            </w:pPr>
            <w:r>
              <w:rPr>
                <w:rFonts w:cs="TimesNewRomanPSMT"/>
                <w:lang w:bidi="ar-SA"/>
              </w:rPr>
              <w:t>–</w:t>
            </w:r>
            <w:r w:rsidR="003B090A">
              <w:rPr>
                <w:lang w:bidi="ar-SA"/>
              </w:rPr>
              <w:t xml:space="preserve"> </w:t>
            </w:r>
            <w:r w:rsidR="003B090A" w:rsidRPr="00C951D8">
              <w:rPr>
                <w:lang w:bidi="ar-SA"/>
              </w:rPr>
              <w:t xml:space="preserve">99% of caretakers follow </w:t>
            </w:r>
            <w:r w:rsidR="003B090A" w:rsidRPr="00C951D8">
              <w:rPr>
                <w:rFonts w:cs="Arial"/>
                <w:color w:val="292526"/>
                <w:lang w:bidi="ar-SA"/>
              </w:rPr>
              <w:t>cultural practices that require the mother and child to remain in the home for the first 7 days of life.</w:t>
            </w:r>
          </w:p>
        </w:tc>
        <w:tc>
          <w:tcPr>
            <w:tcW w:w="2415" w:type="dxa"/>
          </w:tcPr>
          <w:p w:rsidR="00FF73FE" w:rsidRPr="005F1107" w:rsidRDefault="00FF73FE"/>
        </w:tc>
        <w:tc>
          <w:tcPr>
            <w:tcW w:w="989" w:type="dxa"/>
          </w:tcPr>
          <w:p w:rsidR="00FF73FE" w:rsidRPr="005F1107" w:rsidRDefault="00FF73FE"/>
        </w:tc>
        <w:tc>
          <w:tcPr>
            <w:tcW w:w="1682" w:type="dxa"/>
          </w:tcPr>
          <w:p w:rsidR="00FF73FE" w:rsidRPr="005F1107" w:rsidRDefault="00FF73FE"/>
        </w:tc>
        <w:tc>
          <w:tcPr>
            <w:tcW w:w="1874" w:type="dxa"/>
          </w:tcPr>
          <w:p w:rsidR="00FF73FE" w:rsidRPr="005F1107" w:rsidRDefault="00FF73FE"/>
        </w:tc>
        <w:tc>
          <w:tcPr>
            <w:tcW w:w="1798" w:type="dxa"/>
          </w:tcPr>
          <w:p w:rsidR="00FF73FE" w:rsidRPr="005F1107" w:rsidRDefault="00FF73FE"/>
        </w:tc>
      </w:tr>
      <w:tr w:rsidR="00FF73FE" w:rsidTr="00F008B7">
        <w:tc>
          <w:tcPr>
            <w:tcW w:w="467" w:type="dxa"/>
          </w:tcPr>
          <w:p w:rsidR="00FF73FE" w:rsidRDefault="005040B4">
            <w:pPr>
              <w:rPr>
                <w:b/>
              </w:rPr>
            </w:pPr>
            <w:r>
              <w:rPr>
                <w:b/>
              </w:rPr>
              <w:t>6</w:t>
            </w:r>
            <w:r w:rsidR="00413A32">
              <w:rPr>
                <w:b/>
              </w:rPr>
              <w:t>b</w:t>
            </w:r>
          </w:p>
        </w:tc>
        <w:tc>
          <w:tcPr>
            <w:tcW w:w="2211" w:type="dxa"/>
          </w:tcPr>
          <w:p w:rsidR="00FF73FE" w:rsidRPr="007F165F" w:rsidRDefault="003B090A" w:rsidP="003B090A">
            <w:pPr>
              <w:spacing w:after="200" w:line="276" w:lineRule="auto"/>
            </w:pPr>
            <w:r>
              <w:t>Do caretakers recognize illness danger signs in children under 5?</w:t>
            </w:r>
          </w:p>
        </w:tc>
        <w:tc>
          <w:tcPr>
            <w:tcW w:w="3180" w:type="dxa"/>
          </w:tcPr>
          <w:p w:rsidR="00FF73FE" w:rsidRPr="00063A0D" w:rsidRDefault="0061143A">
            <w:pPr>
              <w:autoSpaceDE w:val="0"/>
              <w:autoSpaceDN w:val="0"/>
              <w:adjustRightInd w:val="0"/>
              <w:rPr>
                <w:lang w:bidi="ar-SA"/>
              </w:rPr>
            </w:pPr>
            <w:r>
              <w:rPr>
                <w:rFonts w:cs="TimesNewRomanPSMT"/>
                <w:lang w:bidi="ar-SA"/>
              </w:rPr>
              <w:t>–</w:t>
            </w:r>
            <w:r w:rsidR="00063A0D">
              <w:rPr>
                <w:lang w:bidi="ar-SA"/>
              </w:rPr>
              <w:t xml:space="preserve"> </w:t>
            </w:r>
            <w:r w:rsidR="00C951D8" w:rsidRPr="00C951D8">
              <w:rPr>
                <w:rFonts w:cs="Arial"/>
                <w:color w:val="292526"/>
                <w:lang w:bidi="ar-SA"/>
              </w:rPr>
              <w:t>The majority of caretakers recognized a</w:t>
            </w:r>
            <w:r w:rsidR="00AE6E6C">
              <w:rPr>
                <w:rFonts w:cs="Arial"/>
                <w:color w:val="292526"/>
                <w:lang w:bidi="ar-SA"/>
              </w:rPr>
              <w:t xml:space="preserve"> </w:t>
            </w:r>
            <w:r w:rsidR="00C951D8" w:rsidRPr="00C951D8">
              <w:rPr>
                <w:rFonts w:cs="Arial"/>
                <w:color w:val="292526"/>
                <w:lang w:bidi="ar-SA"/>
              </w:rPr>
              <w:t>number of danger signs</w:t>
            </w:r>
            <w:r w:rsidR="004833E4">
              <w:rPr>
                <w:rFonts w:cs="Arial"/>
                <w:color w:val="292526"/>
                <w:lang w:bidi="ar-SA"/>
              </w:rPr>
              <w:t>,</w:t>
            </w:r>
            <w:r w:rsidR="00C951D8" w:rsidRPr="00C951D8">
              <w:rPr>
                <w:rFonts w:cs="Arial"/>
                <w:color w:val="292526"/>
                <w:lang w:bidi="ar-SA"/>
              </w:rPr>
              <w:t xml:space="preserve"> but not necessarily</w:t>
            </w:r>
            <w:r w:rsidR="004833E4">
              <w:rPr>
                <w:rFonts w:cs="Arial"/>
                <w:color w:val="292526"/>
                <w:lang w:bidi="ar-SA"/>
              </w:rPr>
              <w:t xml:space="preserve"> </w:t>
            </w:r>
            <w:r w:rsidR="00C951D8" w:rsidRPr="00C951D8">
              <w:rPr>
                <w:rFonts w:cs="Arial"/>
                <w:color w:val="292526"/>
                <w:lang w:bidi="ar-SA"/>
              </w:rPr>
              <w:t xml:space="preserve">the severity of </w:t>
            </w:r>
            <w:r w:rsidR="004833E4">
              <w:rPr>
                <w:rFonts w:cs="Arial"/>
                <w:color w:val="292526"/>
                <w:lang w:bidi="ar-SA"/>
              </w:rPr>
              <w:t>those</w:t>
            </w:r>
            <w:r w:rsidR="00C951D8" w:rsidRPr="00C951D8">
              <w:rPr>
                <w:rFonts w:cs="Arial"/>
                <w:color w:val="292526"/>
                <w:lang w:bidi="ar-SA"/>
              </w:rPr>
              <w:t xml:space="preserve"> signs</w:t>
            </w:r>
            <w:r w:rsidR="00AE6E6C">
              <w:rPr>
                <w:rFonts w:cs="Arial"/>
                <w:color w:val="292526"/>
                <w:lang w:bidi="ar-SA"/>
              </w:rPr>
              <w:t>.</w:t>
            </w:r>
          </w:p>
        </w:tc>
        <w:tc>
          <w:tcPr>
            <w:tcW w:w="2415" w:type="dxa"/>
          </w:tcPr>
          <w:p w:rsidR="00FF73FE" w:rsidRPr="005F1107" w:rsidRDefault="00FF73FE"/>
        </w:tc>
        <w:tc>
          <w:tcPr>
            <w:tcW w:w="989" w:type="dxa"/>
          </w:tcPr>
          <w:p w:rsidR="00FF73FE" w:rsidRPr="005F1107" w:rsidRDefault="00FF73FE"/>
        </w:tc>
        <w:tc>
          <w:tcPr>
            <w:tcW w:w="1682" w:type="dxa"/>
          </w:tcPr>
          <w:p w:rsidR="00FF73FE" w:rsidRPr="005F1107" w:rsidRDefault="00FF73FE"/>
        </w:tc>
        <w:tc>
          <w:tcPr>
            <w:tcW w:w="1874" w:type="dxa"/>
          </w:tcPr>
          <w:p w:rsidR="00FF73FE" w:rsidRPr="005F1107" w:rsidRDefault="00FF73FE"/>
        </w:tc>
        <w:tc>
          <w:tcPr>
            <w:tcW w:w="1798" w:type="dxa"/>
          </w:tcPr>
          <w:p w:rsidR="00FF73FE" w:rsidRPr="005F1107" w:rsidRDefault="00FF73FE"/>
        </w:tc>
      </w:tr>
    </w:tbl>
    <w:p w:rsidR="005F1107" w:rsidRPr="006A51F4" w:rsidRDefault="005F1107"/>
    <w:sectPr w:rsidR="005F1107" w:rsidRPr="006A51F4" w:rsidSect="00482C0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Garamond">
    <w:altName w:val="A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4269B"/>
    <w:multiLevelType w:val="hybridMultilevel"/>
    <w:tmpl w:val="FC0ABD5C"/>
    <w:lvl w:ilvl="0" w:tplc="919A3D7A">
      <w:start w:val="96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76E5C"/>
    <w:multiLevelType w:val="hybridMultilevel"/>
    <w:tmpl w:val="BB7297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131A7"/>
    <w:multiLevelType w:val="hybridMultilevel"/>
    <w:tmpl w:val="FCEEB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A420D"/>
    <w:multiLevelType w:val="hybridMultilevel"/>
    <w:tmpl w:val="132CCE20"/>
    <w:lvl w:ilvl="0" w:tplc="7A9AF92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949C2"/>
    <w:multiLevelType w:val="hybridMultilevel"/>
    <w:tmpl w:val="E020EC88"/>
    <w:lvl w:ilvl="0" w:tplc="C05617A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3B3906"/>
    <w:multiLevelType w:val="hybridMultilevel"/>
    <w:tmpl w:val="C3B213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C22EA1"/>
    <w:multiLevelType w:val="hybridMultilevel"/>
    <w:tmpl w:val="81DC6B0E"/>
    <w:lvl w:ilvl="0" w:tplc="4F34CE5E">
      <w:start w:val="96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EA561B"/>
    <w:multiLevelType w:val="hybridMultilevel"/>
    <w:tmpl w:val="2AE60616"/>
    <w:lvl w:ilvl="0" w:tplc="C98452E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2F4341"/>
    <w:multiLevelType w:val="hybridMultilevel"/>
    <w:tmpl w:val="098A40E4"/>
    <w:lvl w:ilvl="0" w:tplc="8DD8266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D73BA2"/>
    <w:multiLevelType w:val="hybridMultilevel"/>
    <w:tmpl w:val="C756E2EE"/>
    <w:lvl w:ilvl="0" w:tplc="A81238EA">
      <w:start w:val="1"/>
      <w:numFmt w:val="decimal"/>
      <w:lvlText w:val="%1)"/>
      <w:lvlJc w:val="left"/>
      <w:pPr>
        <w:ind w:left="720" w:hanging="360"/>
      </w:pPr>
      <w:rPr>
        <w:rFonts w:cs="Times-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633E6A"/>
    <w:multiLevelType w:val="hybridMultilevel"/>
    <w:tmpl w:val="0FCEB668"/>
    <w:lvl w:ilvl="0" w:tplc="1BF25AE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876090"/>
    <w:multiLevelType w:val="hybridMultilevel"/>
    <w:tmpl w:val="5D5C2A8A"/>
    <w:lvl w:ilvl="0" w:tplc="0AE8E0B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793EA4"/>
    <w:multiLevelType w:val="hybridMultilevel"/>
    <w:tmpl w:val="23224BCE"/>
    <w:lvl w:ilvl="0" w:tplc="85C8E34A">
      <w:start w:val="96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0C3FE9"/>
    <w:multiLevelType w:val="hybridMultilevel"/>
    <w:tmpl w:val="B658F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6A06D2"/>
    <w:multiLevelType w:val="hybridMultilevel"/>
    <w:tmpl w:val="ACC6B854"/>
    <w:lvl w:ilvl="0" w:tplc="51488B0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457234"/>
    <w:multiLevelType w:val="hybridMultilevel"/>
    <w:tmpl w:val="D35281D8"/>
    <w:lvl w:ilvl="0" w:tplc="A098706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C920AF"/>
    <w:multiLevelType w:val="hybridMultilevel"/>
    <w:tmpl w:val="7AAA5758"/>
    <w:lvl w:ilvl="0" w:tplc="4BB4BD4A"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2D710C"/>
    <w:multiLevelType w:val="hybridMultilevel"/>
    <w:tmpl w:val="6A00FFF2"/>
    <w:lvl w:ilvl="0" w:tplc="5CBAA13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2A572C"/>
    <w:multiLevelType w:val="hybridMultilevel"/>
    <w:tmpl w:val="1A6AB286"/>
    <w:lvl w:ilvl="0" w:tplc="6B424DD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792583"/>
    <w:multiLevelType w:val="hybridMultilevel"/>
    <w:tmpl w:val="E55476EA"/>
    <w:lvl w:ilvl="0" w:tplc="E7F8CF8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C07BD6"/>
    <w:multiLevelType w:val="hybridMultilevel"/>
    <w:tmpl w:val="10841650"/>
    <w:lvl w:ilvl="0" w:tplc="3EC44680">
      <w:start w:val="96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AB2F2A"/>
    <w:multiLevelType w:val="hybridMultilevel"/>
    <w:tmpl w:val="946C7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FF5AA0"/>
    <w:multiLevelType w:val="hybridMultilevel"/>
    <w:tmpl w:val="2E1E8A20"/>
    <w:lvl w:ilvl="0" w:tplc="76B6A4D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20"/>
  </w:num>
  <w:num w:numId="4">
    <w:abstractNumId w:val="12"/>
  </w:num>
  <w:num w:numId="5">
    <w:abstractNumId w:val="0"/>
  </w:num>
  <w:num w:numId="6">
    <w:abstractNumId w:val="6"/>
  </w:num>
  <w:num w:numId="7">
    <w:abstractNumId w:val="5"/>
  </w:num>
  <w:num w:numId="8">
    <w:abstractNumId w:val="9"/>
  </w:num>
  <w:num w:numId="9">
    <w:abstractNumId w:val="1"/>
  </w:num>
  <w:num w:numId="10">
    <w:abstractNumId w:val="7"/>
  </w:num>
  <w:num w:numId="11">
    <w:abstractNumId w:val="4"/>
  </w:num>
  <w:num w:numId="12">
    <w:abstractNumId w:val="3"/>
  </w:num>
  <w:num w:numId="13">
    <w:abstractNumId w:val="19"/>
  </w:num>
  <w:num w:numId="14">
    <w:abstractNumId w:val="22"/>
  </w:num>
  <w:num w:numId="15">
    <w:abstractNumId w:val="10"/>
  </w:num>
  <w:num w:numId="16">
    <w:abstractNumId w:val="18"/>
  </w:num>
  <w:num w:numId="17">
    <w:abstractNumId w:val="15"/>
  </w:num>
  <w:num w:numId="18">
    <w:abstractNumId w:val="11"/>
  </w:num>
  <w:num w:numId="19">
    <w:abstractNumId w:val="17"/>
  </w:num>
  <w:num w:numId="20">
    <w:abstractNumId w:val="8"/>
  </w:num>
  <w:num w:numId="21">
    <w:abstractNumId w:val="14"/>
  </w:num>
  <w:num w:numId="22">
    <w:abstractNumId w:val="13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C0A"/>
    <w:rsid w:val="00000A71"/>
    <w:rsid w:val="00005023"/>
    <w:rsid w:val="00034E4F"/>
    <w:rsid w:val="00063A0D"/>
    <w:rsid w:val="00064C87"/>
    <w:rsid w:val="00070042"/>
    <w:rsid w:val="000A459D"/>
    <w:rsid w:val="000B53C0"/>
    <w:rsid w:val="000B6F0E"/>
    <w:rsid w:val="000E7C05"/>
    <w:rsid w:val="00122ED0"/>
    <w:rsid w:val="00133435"/>
    <w:rsid w:val="00133497"/>
    <w:rsid w:val="001371C1"/>
    <w:rsid w:val="001379C7"/>
    <w:rsid w:val="00196E7C"/>
    <w:rsid w:val="001C03CA"/>
    <w:rsid w:val="001C08E4"/>
    <w:rsid w:val="001C6EFB"/>
    <w:rsid w:val="002305E5"/>
    <w:rsid w:val="002428A4"/>
    <w:rsid w:val="0025245C"/>
    <w:rsid w:val="0027719B"/>
    <w:rsid w:val="00282806"/>
    <w:rsid w:val="00295D0B"/>
    <w:rsid w:val="002A044B"/>
    <w:rsid w:val="002A104A"/>
    <w:rsid w:val="002A66F8"/>
    <w:rsid w:val="002D12D6"/>
    <w:rsid w:val="002E44D2"/>
    <w:rsid w:val="002F2BF0"/>
    <w:rsid w:val="00303180"/>
    <w:rsid w:val="003141FA"/>
    <w:rsid w:val="00366E9E"/>
    <w:rsid w:val="00396DBD"/>
    <w:rsid w:val="003A54B7"/>
    <w:rsid w:val="003A5580"/>
    <w:rsid w:val="003B090A"/>
    <w:rsid w:val="003B144F"/>
    <w:rsid w:val="003B37EC"/>
    <w:rsid w:val="003C438E"/>
    <w:rsid w:val="003E38C6"/>
    <w:rsid w:val="003E6146"/>
    <w:rsid w:val="00410DB7"/>
    <w:rsid w:val="00413A32"/>
    <w:rsid w:val="00417F67"/>
    <w:rsid w:val="004259AF"/>
    <w:rsid w:val="00441DC6"/>
    <w:rsid w:val="00463893"/>
    <w:rsid w:val="004656DB"/>
    <w:rsid w:val="0047205D"/>
    <w:rsid w:val="00477BE3"/>
    <w:rsid w:val="00482C0A"/>
    <w:rsid w:val="004833E4"/>
    <w:rsid w:val="005040B4"/>
    <w:rsid w:val="00547855"/>
    <w:rsid w:val="005B7C4D"/>
    <w:rsid w:val="005D74DB"/>
    <w:rsid w:val="005F1107"/>
    <w:rsid w:val="005F24C0"/>
    <w:rsid w:val="006031C5"/>
    <w:rsid w:val="0061143A"/>
    <w:rsid w:val="00627E8E"/>
    <w:rsid w:val="00635D55"/>
    <w:rsid w:val="00655BB4"/>
    <w:rsid w:val="006A3334"/>
    <w:rsid w:val="006A51F4"/>
    <w:rsid w:val="006F5089"/>
    <w:rsid w:val="00701DAB"/>
    <w:rsid w:val="00710799"/>
    <w:rsid w:val="00720918"/>
    <w:rsid w:val="007417B7"/>
    <w:rsid w:val="00743A30"/>
    <w:rsid w:val="007559FB"/>
    <w:rsid w:val="00777244"/>
    <w:rsid w:val="00786275"/>
    <w:rsid w:val="007A28F7"/>
    <w:rsid w:val="007B34A3"/>
    <w:rsid w:val="007C613D"/>
    <w:rsid w:val="007E3A9A"/>
    <w:rsid w:val="007F165F"/>
    <w:rsid w:val="007F316D"/>
    <w:rsid w:val="00800928"/>
    <w:rsid w:val="00873FF9"/>
    <w:rsid w:val="00877E6E"/>
    <w:rsid w:val="008F4C24"/>
    <w:rsid w:val="009041DA"/>
    <w:rsid w:val="00954824"/>
    <w:rsid w:val="009A56F9"/>
    <w:rsid w:val="009E73DA"/>
    <w:rsid w:val="00A03BD9"/>
    <w:rsid w:val="00A276C6"/>
    <w:rsid w:val="00A45107"/>
    <w:rsid w:val="00A67DD5"/>
    <w:rsid w:val="00A714F8"/>
    <w:rsid w:val="00A746E0"/>
    <w:rsid w:val="00AA0E41"/>
    <w:rsid w:val="00AE1DFC"/>
    <w:rsid w:val="00AE6E6C"/>
    <w:rsid w:val="00AF2103"/>
    <w:rsid w:val="00B946CB"/>
    <w:rsid w:val="00BF19BB"/>
    <w:rsid w:val="00BF5D0C"/>
    <w:rsid w:val="00BF6F6B"/>
    <w:rsid w:val="00C03F57"/>
    <w:rsid w:val="00C33F55"/>
    <w:rsid w:val="00C36201"/>
    <w:rsid w:val="00C86A12"/>
    <w:rsid w:val="00C915CF"/>
    <w:rsid w:val="00C951D8"/>
    <w:rsid w:val="00CE0742"/>
    <w:rsid w:val="00CF556D"/>
    <w:rsid w:val="00D36963"/>
    <w:rsid w:val="00D4510B"/>
    <w:rsid w:val="00D46EB3"/>
    <w:rsid w:val="00D61BBA"/>
    <w:rsid w:val="00D71CD7"/>
    <w:rsid w:val="00DA6BF4"/>
    <w:rsid w:val="00E1685A"/>
    <w:rsid w:val="00E501C9"/>
    <w:rsid w:val="00E84AD4"/>
    <w:rsid w:val="00E93F65"/>
    <w:rsid w:val="00EB647C"/>
    <w:rsid w:val="00F008B7"/>
    <w:rsid w:val="00F1343F"/>
    <w:rsid w:val="00F1708E"/>
    <w:rsid w:val="00F32AFB"/>
    <w:rsid w:val="00F57729"/>
    <w:rsid w:val="00F5790A"/>
    <w:rsid w:val="00FE2070"/>
    <w:rsid w:val="00FE47B8"/>
    <w:rsid w:val="00FF4BF3"/>
    <w:rsid w:val="00FF684A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08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508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508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508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50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508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508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508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508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508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508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508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508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F508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508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508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508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508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508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F508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F508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508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F508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F5089"/>
    <w:rPr>
      <w:b/>
      <w:bCs/>
    </w:rPr>
  </w:style>
  <w:style w:type="character" w:styleId="Emphasis">
    <w:name w:val="Emphasis"/>
    <w:basedOn w:val="DefaultParagraphFont"/>
    <w:uiPriority w:val="20"/>
    <w:qFormat/>
    <w:rsid w:val="006F508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F5089"/>
    <w:rPr>
      <w:szCs w:val="32"/>
    </w:rPr>
  </w:style>
  <w:style w:type="paragraph" w:styleId="ListParagraph">
    <w:name w:val="List Paragraph"/>
    <w:basedOn w:val="Normal"/>
    <w:uiPriority w:val="34"/>
    <w:qFormat/>
    <w:rsid w:val="006F508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F508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F508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508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5089"/>
    <w:rPr>
      <w:b/>
      <w:i/>
      <w:sz w:val="24"/>
    </w:rPr>
  </w:style>
  <w:style w:type="character" w:styleId="SubtleEmphasis">
    <w:name w:val="Subtle Emphasis"/>
    <w:uiPriority w:val="19"/>
    <w:qFormat/>
    <w:rsid w:val="006F508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F508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F508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F508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F508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5089"/>
    <w:pPr>
      <w:outlineLvl w:val="9"/>
    </w:pPr>
  </w:style>
  <w:style w:type="table" w:styleId="TableGrid">
    <w:name w:val="Table Grid"/>
    <w:basedOn w:val="TableNormal"/>
    <w:uiPriority w:val="59"/>
    <w:rsid w:val="00482C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">
    <w:name w:val="A0"/>
    <w:uiPriority w:val="99"/>
    <w:rsid w:val="005F1107"/>
    <w:rPr>
      <w:rFonts w:cs="AGaramond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9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9F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0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07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07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074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08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508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508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508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50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508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508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508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508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508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508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508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508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F508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508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508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508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508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508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F508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F508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508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F508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F5089"/>
    <w:rPr>
      <w:b/>
      <w:bCs/>
    </w:rPr>
  </w:style>
  <w:style w:type="character" w:styleId="Emphasis">
    <w:name w:val="Emphasis"/>
    <w:basedOn w:val="DefaultParagraphFont"/>
    <w:uiPriority w:val="20"/>
    <w:qFormat/>
    <w:rsid w:val="006F508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F5089"/>
    <w:rPr>
      <w:szCs w:val="32"/>
    </w:rPr>
  </w:style>
  <w:style w:type="paragraph" w:styleId="ListParagraph">
    <w:name w:val="List Paragraph"/>
    <w:basedOn w:val="Normal"/>
    <w:uiPriority w:val="34"/>
    <w:qFormat/>
    <w:rsid w:val="006F508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F508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F508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508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5089"/>
    <w:rPr>
      <w:b/>
      <w:i/>
      <w:sz w:val="24"/>
    </w:rPr>
  </w:style>
  <w:style w:type="character" w:styleId="SubtleEmphasis">
    <w:name w:val="Subtle Emphasis"/>
    <w:uiPriority w:val="19"/>
    <w:qFormat/>
    <w:rsid w:val="006F508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F508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F508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F508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F508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5089"/>
    <w:pPr>
      <w:outlineLvl w:val="9"/>
    </w:pPr>
  </w:style>
  <w:style w:type="table" w:styleId="TableGrid">
    <w:name w:val="Table Grid"/>
    <w:basedOn w:val="TableNormal"/>
    <w:uiPriority w:val="59"/>
    <w:rsid w:val="00482C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">
    <w:name w:val="A0"/>
    <w:uiPriority w:val="99"/>
    <w:rsid w:val="005F1107"/>
    <w:rPr>
      <w:rFonts w:cs="AGaramond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9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9F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0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07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07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07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86AFC-83AE-4A25-9636-D43BAD602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1540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10299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Nutley</dc:creator>
  <cp:lastModifiedBy>Liz Snyder</cp:lastModifiedBy>
  <cp:revision>2</cp:revision>
  <cp:lastPrinted>2009-09-21T15:29:00Z</cp:lastPrinted>
  <dcterms:created xsi:type="dcterms:W3CDTF">2011-09-15T16:00:00Z</dcterms:created>
  <dcterms:modified xsi:type="dcterms:W3CDTF">2011-09-15T16:00:00Z</dcterms:modified>
</cp:coreProperties>
</file>